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94" w:rsidRPr="00E54B63" w:rsidRDefault="00F01594" w:rsidP="00E54B63">
      <w:pPr>
        <w:tabs>
          <w:tab w:val="center" w:pos="4320"/>
          <w:tab w:val="right" w:pos="8640"/>
        </w:tabs>
        <w:overflowPunct w:val="0"/>
        <w:autoSpaceDE w:val="0"/>
        <w:autoSpaceDN w:val="0"/>
        <w:adjustRightInd w:val="0"/>
        <w:spacing w:after="0" w:line="240" w:lineRule="auto"/>
        <w:textAlignment w:val="baseline"/>
        <w:rPr>
          <w:rFonts w:ascii="Verdana" w:eastAsia="Times New Roman" w:hAnsi="Verdana" w:cs="Times New Roman"/>
          <w:b/>
          <w:color w:val="FF0000"/>
          <w:sz w:val="17"/>
          <w:szCs w:val="17"/>
          <w:lang w:val="en-GB" w:eastAsia="x-none"/>
        </w:rPr>
      </w:pPr>
    </w:p>
    <w:p w:rsidR="0061203A" w:rsidRPr="00E54B63" w:rsidRDefault="0061203A" w:rsidP="00E54B63">
      <w:pPr>
        <w:overflowPunct w:val="0"/>
        <w:autoSpaceDE w:val="0"/>
        <w:autoSpaceDN w:val="0"/>
        <w:adjustRightInd w:val="0"/>
        <w:spacing w:after="0" w:line="240" w:lineRule="auto"/>
        <w:jc w:val="center"/>
        <w:textAlignment w:val="baseline"/>
        <w:rPr>
          <w:rFonts w:ascii="Verdana" w:hAnsi="Verdana"/>
          <w:b/>
          <w:bCs/>
          <w:sz w:val="17"/>
          <w:szCs w:val="17"/>
        </w:rPr>
      </w:pPr>
      <w:r w:rsidRPr="0061203A">
        <w:rPr>
          <w:rFonts w:ascii="Verdana" w:hAnsi="Verdana"/>
          <w:b/>
          <w:bCs/>
          <w:sz w:val="17"/>
          <w:szCs w:val="17"/>
        </w:rPr>
        <w:t>ORDER</w:t>
      </w:r>
    </w:p>
    <w:p w:rsidR="00E54B63" w:rsidRPr="0061203A" w:rsidRDefault="00E54B63" w:rsidP="00E54B63">
      <w:pPr>
        <w:overflowPunct w:val="0"/>
        <w:autoSpaceDE w:val="0"/>
        <w:autoSpaceDN w:val="0"/>
        <w:adjustRightInd w:val="0"/>
        <w:spacing w:after="0" w:line="240" w:lineRule="auto"/>
        <w:jc w:val="center"/>
        <w:textAlignment w:val="baseline"/>
        <w:rPr>
          <w:rFonts w:ascii="Verdana" w:hAnsi="Verdana"/>
          <w:b/>
          <w:bCs/>
          <w:sz w:val="17"/>
          <w:szCs w:val="17"/>
        </w:rPr>
      </w:pPr>
    </w:p>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bCs/>
          <w:sz w:val="17"/>
          <w:szCs w:val="17"/>
        </w:rPr>
      </w:pPr>
      <w:r w:rsidRPr="0061203A">
        <w:rPr>
          <w:rFonts w:ascii="Verdana" w:hAnsi="Verdana"/>
          <w:b/>
          <w:bCs/>
          <w:sz w:val="17"/>
          <w:szCs w:val="17"/>
        </w:rPr>
        <w:t>№ A 90</w:t>
      </w:r>
    </w:p>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bCs/>
          <w:sz w:val="17"/>
          <w:szCs w:val="17"/>
          <w:lang w:val="en-US"/>
        </w:rPr>
      </w:pPr>
      <w:r w:rsidRPr="0061203A">
        <w:rPr>
          <w:rFonts w:ascii="Verdana" w:hAnsi="Verdana"/>
          <w:b/>
          <w:bCs/>
          <w:sz w:val="17"/>
          <w:szCs w:val="17"/>
        </w:rPr>
        <w:t>Sofia, 28.02.2024</w:t>
      </w:r>
    </w:p>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sz w:val="17"/>
          <w:szCs w:val="17"/>
          <w:lang w:val="ru-RU"/>
        </w:rPr>
      </w:pPr>
    </w:p>
    <w:p w:rsidR="0061203A" w:rsidRPr="00E54B63" w:rsidRDefault="0061203A" w:rsidP="0061203A">
      <w:pPr>
        <w:overflowPunct w:val="0"/>
        <w:autoSpaceDE w:val="0"/>
        <w:autoSpaceDN w:val="0"/>
        <w:adjustRightInd w:val="0"/>
        <w:spacing w:after="0" w:line="240" w:lineRule="auto"/>
        <w:jc w:val="center"/>
        <w:textAlignment w:val="baseline"/>
        <w:rPr>
          <w:rFonts w:ascii="Verdana" w:hAnsi="Verdana"/>
          <w:sz w:val="17"/>
          <w:szCs w:val="17"/>
        </w:rPr>
      </w:pPr>
      <w:bookmarkStart w:id="0" w:name="_GoBack"/>
      <w:bookmarkEnd w:id="0"/>
      <w:r w:rsidRPr="00E54B63">
        <w:rPr>
          <w:rFonts w:ascii="Verdana" w:hAnsi="Verdana"/>
          <w:b/>
          <w:sz w:val="17"/>
          <w:szCs w:val="17"/>
          <w:lang w:val="en-US"/>
        </w:rPr>
        <w:t>Inspection Body of TYPE C at “ALTEA CONTROL”</w:t>
      </w:r>
    </w:p>
    <w:p w:rsidR="0061203A" w:rsidRPr="0061203A" w:rsidRDefault="0061203A" w:rsidP="0061203A">
      <w:pPr>
        <w:overflowPunct w:val="0"/>
        <w:autoSpaceDE w:val="0"/>
        <w:autoSpaceDN w:val="0"/>
        <w:adjustRightInd w:val="0"/>
        <w:spacing w:before="120" w:after="120" w:line="240" w:lineRule="auto"/>
        <w:jc w:val="center"/>
        <w:textAlignment w:val="baseline"/>
        <w:rPr>
          <w:rFonts w:ascii="Verdana" w:hAnsi="Verdana"/>
          <w:b/>
          <w:sz w:val="17"/>
          <w:szCs w:val="17"/>
          <w:lang w:val="en-US"/>
        </w:rPr>
      </w:pPr>
      <w:r w:rsidRPr="00E54B63">
        <w:rPr>
          <w:rFonts w:ascii="Verdana" w:hAnsi="Verdana"/>
          <w:b/>
          <w:sz w:val="17"/>
          <w:szCs w:val="17"/>
          <w:lang w:val="en-US"/>
        </w:rPr>
        <w:t>at “ALTEA-2000” Ltd.,Dobrich town</w:t>
      </w:r>
    </w:p>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7"/>
          <w:szCs w:val="17"/>
          <w:lang w:eastAsia="bg-BG"/>
        </w:rPr>
      </w:pPr>
      <w:bookmarkStart w:id="1" w:name="_Hlk63245839"/>
      <w:bookmarkStart w:id="2" w:name="_Hlk83819561"/>
      <w:r w:rsidRPr="0061203A">
        <w:rPr>
          <w:rFonts w:ascii="Verdana" w:hAnsi="Verdana"/>
          <w:b/>
          <w:sz w:val="17"/>
          <w:szCs w:val="17"/>
          <w:lang w:eastAsia="bg-BG"/>
        </w:rPr>
        <w:t xml:space="preserve">Address of management: </w:t>
      </w:r>
      <w:r w:rsidRPr="0061203A">
        <w:rPr>
          <w:rFonts w:ascii="Verdana" w:hAnsi="Verdana"/>
          <w:bCs/>
          <w:sz w:val="17"/>
          <w:szCs w:val="17"/>
          <w:lang w:eastAsia="bg-BG"/>
        </w:rPr>
        <w:t>Dobrich 9300, 2 Tsar Petar Str., Ent.G, Apt.1</w:t>
      </w:r>
    </w:p>
    <w:bookmarkEnd w:id="1"/>
    <w:bookmarkEnd w:id="2"/>
    <w:p w:rsidR="0061203A" w:rsidRPr="0061203A" w:rsidRDefault="0061203A" w:rsidP="0061203A">
      <w:pPr>
        <w:overflowPunct w:val="0"/>
        <w:autoSpaceDE w:val="0"/>
        <w:autoSpaceDN w:val="0"/>
        <w:adjustRightInd w:val="0"/>
        <w:spacing w:after="0" w:line="240" w:lineRule="auto"/>
        <w:ind w:left="720"/>
        <w:textAlignment w:val="baseline"/>
        <w:rPr>
          <w:rFonts w:ascii="Verdana" w:hAnsi="Verdana"/>
          <w:b/>
          <w:sz w:val="17"/>
          <w:szCs w:val="17"/>
          <w:lang w:eastAsia="bg-BG"/>
        </w:rPr>
      </w:pPr>
      <w:r w:rsidRPr="0061203A">
        <w:rPr>
          <w:rFonts w:ascii="Verdana" w:hAnsi="Verdana"/>
          <w:b/>
          <w:sz w:val="17"/>
          <w:szCs w:val="17"/>
          <w:lang w:eastAsia="bg-BG"/>
        </w:rPr>
        <w:t>Office address:</w:t>
      </w:r>
      <w:r w:rsidRPr="0061203A">
        <w:rPr>
          <w:sz w:val="17"/>
          <w:szCs w:val="17"/>
        </w:rPr>
        <w:t xml:space="preserve"> </w:t>
      </w:r>
      <w:r w:rsidRPr="0061203A">
        <w:rPr>
          <w:rFonts w:ascii="Verdana" w:hAnsi="Verdana"/>
          <w:sz w:val="17"/>
          <w:szCs w:val="17"/>
          <w:lang w:eastAsia="bg-BG"/>
        </w:rPr>
        <w:t>Dobrich 9300, 2 Tsar Petar Str.,</w:t>
      </w:r>
      <w:r w:rsidR="005E64A1">
        <w:rPr>
          <w:rFonts w:ascii="Verdana" w:hAnsi="Verdana"/>
          <w:sz w:val="17"/>
          <w:szCs w:val="17"/>
          <w:lang w:eastAsia="bg-BG"/>
        </w:rPr>
        <w:t xml:space="preserve"> </w:t>
      </w:r>
      <w:r w:rsidR="005E64A1">
        <w:rPr>
          <w:rFonts w:ascii="Verdana" w:hAnsi="Verdana"/>
          <w:sz w:val="17"/>
          <w:szCs w:val="17"/>
          <w:lang w:val="en-US" w:eastAsia="bg-BG"/>
        </w:rPr>
        <w:t>B</w:t>
      </w:r>
      <w:r w:rsidRPr="0061203A">
        <w:rPr>
          <w:rFonts w:ascii="Verdana" w:hAnsi="Verdana"/>
          <w:sz w:val="17"/>
          <w:szCs w:val="17"/>
          <w:lang w:eastAsia="bg-BG"/>
        </w:rPr>
        <w:t xml:space="preserve"> – ground floor</w:t>
      </w:r>
    </w:p>
    <w:p w:rsidR="0061203A" w:rsidRPr="0061203A" w:rsidRDefault="0061203A" w:rsidP="0061203A">
      <w:pPr>
        <w:overflowPunct w:val="0"/>
        <w:autoSpaceDE w:val="0"/>
        <w:autoSpaceDN w:val="0"/>
        <w:adjustRightInd w:val="0"/>
        <w:spacing w:after="0" w:line="240" w:lineRule="auto"/>
        <w:textAlignment w:val="baseline"/>
        <w:rPr>
          <w:rFonts w:ascii="Verdana" w:hAnsi="Verdana"/>
          <w:b/>
          <w:bCs/>
          <w:sz w:val="17"/>
          <w:szCs w:val="17"/>
          <w:lang w:val="ru-RU"/>
        </w:rPr>
      </w:pPr>
    </w:p>
    <w:p w:rsidR="0061203A" w:rsidRPr="0061203A" w:rsidRDefault="0061203A" w:rsidP="0061203A">
      <w:pPr>
        <w:overflowPunct w:val="0"/>
        <w:autoSpaceDE w:val="0"/>
        <w:autoSpaceDN w:val="0"/>
        <w:adjustRightInd w:val="0"/>
        <w:spacing w:after="0" w:line="240" w:lineRule="auto"/>
        <w:textAlignment w:val="baseline"/>
        <w:rPr>
          <w:rFonts w:ascii="Verdana" w:hAnsi="Verdana"/>
          <w:b/>
          <w:bCs/>
          <w:sz w:val="17"/>
          <w:szCs w:val="17"/>
          <w:lang w:val="ru-RU"/>
        </w:rPr>
      </w:pPr>
      <w:r w:rsidRPr="0061203A">
        <w:rPr>
          <w:rFonts w:ascii="Verdana" w:hAnsi="Verdana"/>
          <w:b/>
          <w:bCs/>
          <w:sz w:val="17"/>
          <w:szCs w:val="17"/>
          <w:lang w:val="ru-RU"/>
        </w:rPr>
        <w:t xml:space="preserve">To perform </w:t>
      </w:r>
      <w:r w:rsidRPr="0061203A">
        <w:rPr>
          <w:rFonts w:ascii="Verdana" w:hAnsi="Verdana"/>
          <w:b/>
          <w:bCs/>
          <w:sz w:val="17"/>
          <w:szCs w:val="17"/>
        </w:rPr>
        <w:t>inspection of</w:t>
      </w:r>
      <w:r w:rsidRPr="0061203A">
        <w:rPr>
          <w:rFonts w:ascii="Verdana" w:hAnsi="Verdana"/>
          <w:b/>
          <w:bCs/>
          <w:sz w:val="17"/>
          <w:szCs w:val="17"/>
          <w:lang w:val="ru-RU"/>
        </w:rPr>
        <w:t>:</w:t>
      </w:r>
    </w:p>
    <w:tbl>
      <w:tblPr>
        <w:tblW w:w="53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562"/>
        <w:gridCol w:w="1420"/>
        <w:gridCol w:w="27"/>
        <w:gridCol w:w="1782"/>
        <w:gridCol w:w="31"/>
        <w:gridCol w:w="1702"/>
        <w:gridCol w:w="2406"/>
      </w:tblGrid>
      <w:tr w:rsidR="0061203A" w:rsidRPr="0061203A" w:rsidTr="002D6892">
        <w:trPr>
          <w:trHeight w:val="196"/>
        </w:trPr>
        <w:tc>
          <w:tcPr>
            <w:tcW w:w="5000" w:type="pct"/>
            <w:gridSpan w:val="8"/>
            <w:tcBorders>
              <w:top w:val="single" w:sz="4" w:space="0" w:color="auto"/>
              <w:left w:val="single" w:sz="4" w:space="0" w:color="auto"/>
              <w:bottom w:val="single" w:sz="4" w:space="0" w:color="auto"/>
              <w:right w:val="single" w:sz="4" w:space="0" w:color="auto"/>
            </w:tcBorders>
            <w:vAlign w:val="center"/>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8"/>
                <w:szCs w:val="18"/>
                <w:lang w:val="en-GB"/>
              </w:rPr>
            </w:pPr>
            <w:r w:rsidRPr="0061203A">
              <w:rPr>
                <w:rFonts w:ascii="Verdana" w:hAnsi="Verdana"/>
                <w:b/>
                <w:bCs/>
                <w:sz w:val="18"/>
                <w:szCs w:val="18"/>
                <w:lang w:val="en-GB"/>
              </w:rPr>
              <w:t>Type of scope:</w:t>
            </w:r>
            <w:r w:rsidRPr="0061203A">
              <w:rPr>
                <w:rFonts w:ascii="Verdana" w:hAnsi="Verdana"/>
                <w:bCs/>
                <w:sz w:val="18"/>
                <w:szCs w:val="18"/>
                <w:lang w:val="en-GB"/>
              </w:rPr>
              <w:t xml:space="preserve"> </w:t>
            </w:r>
            <w:r w:rsidRPr="0061203A">
              <w:rPr>
                <w:rFonts w:ascii="Verdana" w:hAnsi="Verdana"/>
                <w:bCs/>
                <w:i/>
                <w:iCs/>
                <w:sz w:val="18"/>
                <w:szCs w:val="18"/>
                <w:lang w:val="en-GB"/>
              </w:rPr>
              <w:t>flexible*</w:t>
            </w:r>
          </w:p>
        </w:tc>
      </w:tr>
      <w:tr w:rsidR="0061203A" w:rsidRPr="0061203A" w:rsidTr="002D6892">
        <w:trPr>
          <w:trHeight w:val="299"/>
        </w:trPr>
        <w:tc>
          <w:tcPr>
            <w:tcW w:w="435" w:type="pct"/>
            <w:tcBorders>
              <w:top w:val="single" w:sz="4" w:space="0" w:color="auto"/>
              <w:left w:val="single" w:sz="4" w:space="0" w:color="auto"/>
              <w:bottom w:val="single" w:sz="4" w:space="0" w:color="auto"/>
              <w:right w:val="single" w:sz="4" w:space="0" w:color="auto"/>
            </w:tcBorders>
            <w:vAlign w:val="center"/>
          </w:tcPr>
          <w:p w:rsidR="0061203A" w:rsidRPr="0061203A" w:rsidRDefault="0061203A" w:rsidP="0061203A">
            <w:pPr>
              <w:overflowPunct w:val="0"/>
              <w:autoSpaceDE w:val="0"/>
              <w:autoSpaceDN w:val="0"/>
              <w:adjustRightInd w:val="0"/>
              <w:spacing w:after="0" w:line="240" w:lineRule="auto"/>
              <w:textAlignment w:val="baseline"/>
              <w:rPr>
                <w:rFonts w:ascii="Verdana" w:hAnsi="Verdana"/>
                <w:b/>
                <w:sz w:val="18"/>
                <w:szCs w:val="18"/>
                <w:lang w:val="en-GB"/>
              </w:rPr>
            </w:pPr>
            <w:r w:rsidRPr="0061203A">
              <w:rPr>
                <w:rFonts w:ascii="Verdana" w:hAnsi="Verdana"/>
                <w:b/>
                <w:sz w:val="18"/>
                <w:szCs w:val="18"/>
                <w:lang w:val="en-GB"/>
              </w:rPr>
              <w:t>№</w:t>
            </w:r>
          </w:p>
        </w:tc>
        <w:tc>
          <w:tcPr>
            <w:tcW w:w="7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eastAsia="Calibri" w:hAnsi="Verdana" w:cs="Tahoma"/>
                <w:b/>
                <w:bCs/>
                <w:color w:val="000000"/>
                <w:sz w:val="18"/>
                <w:szCs w:val="18"/>
                <w:lang w:eastAsia="ar-SA"/>
              </w:rPr>
              <w:t>Field of inspection</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eastAsia="Calibri" w:hAnsi="Verdana" w:cs="Tahoma"/>
                <w:b/>
                <w:bCs/>
                <w:color w:val="000000"/>
                <w:sz w:val="18"/>
                <w:szCs w:val="18"/>
                <w:lang w:eastAsia="ar-SA"/>
              </w:rPr>
              <w:t>Type of inspection</w:t>
            </w:r>
          </w:p>
        </w:tc>
        <w:tc>
          <w:tcPr>
            <w:tcW w:w="9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eastAsia="Calibri" w:hAnsi="Verdana" w:cs="Tahoma"/>
                <w:b/>
                <w:bCs/>
                <w:sz w:val="18"/>
                <w:szCs w:val="18"/>
                <w:lang w:val="en-GB" w:eastAsia="ar-SA"/>
              </w:rPr>
              <w:t>Parameter of Inspection/ Characteristic</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eastAsia="Calibri" w:hAnsi="Verdana" w:cs="Tahoma"/>
                <w:b/>
                <w:bCs/>
                <w:sz w:val="18"/>
                <w:szCs w:val="18"/>
                <w:lang w:val="en-GB" w:eastAsia="ar-SA"/>
              </w:rPr>
              <w:t>Test and Measurement Methods Used During Inspection, Inspection Procedure</w:t>
            </w:r>
          </w:p>
        </w:tc>
        <w:tc>
          <w:tcPr>
            <w:tcW w:w="1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eastAsia="Calibri" w:hAnsi="Verdana" w:cs="Tahoma"/>
                <w:b/>
                <w:bCs/>
                <w:sz w:val="18"/>
                <w:szCs w:val="18"/>
                <w:lang w:val="en-GB" w:eastAsia="ar-SA"/>
              </w:rPr>
              <w:t>Regulations, Standards, Specifications, Schemes</w:t>
            </w:r>
          </w:p>
        </w:tc>
      </w:tr>
      <w:tr w:rsidR="0061203A" w:rsidRPr="0061203A" w:rsidTr="002D6892">
        <w:trPr>
          <w:trHeight w:val="299"/>
        </w:trPr>
        <w:tc>
          <w:tcPr>
            <w:tcW w:w="435" w:type="pct"/>
            <w:tcBorders>
              <w:top w:val="single" w:sz="4" w:space="0" w:color="auto"/>
              <w:left w:val="single" w:sz="4" w:space="0" w:color="auto"/>
              <w:bottom w:val="single" w:sz="4" w:space="0" w:color="auto"/>
              <w:right w:val="single" w:sz="4" w:space="0" w:color="auto"/>
            </w:tcBorders>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hAnsi="Verdana"/>
                <w:b/>
                <w:sz w:val="18"/>
                <w:szCs w:val="18"/>
                <w:lang w:val="en-GB"/>
              </w:rPr>
              <w:t>1</w:t>
            </w:r>
          </w:p>
        </w:tc>
        <w:tc>
          <w:tcPr>
            <w:tcW w:w="798" w:type="pct"/>
            <w:tcBorders>
              <w:top w:val="single" w:sz="4" w:space="0" w:color="auto"/>
              <w:left w:val="single" w:sz="4" w:space="0" w:color="auto"/>
              <w:bottom w:val="single" w:sz="4" w:space="0" w:color="auto"/>
              <w:right w:val="single" w:sz="4" w:space="0" w:color="auto"/>
            </w:tcBorders>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hAnsi="Verdana"/>
                <w:b/>
                <w:sz w:val="18"/>
                <w:szCs w:val="18"/>
                <w:lang w:val="en-GB"/>
              </w:rPr>
              <w:t>2</w:t>
            </w:r>
          </w:p>
        </w:tc>
        <w:tc>
          <w:tcPr>
            <w:tcW w:w="726" w:type="pct"/>
            <w:tcBorders>
              <w:top w:val="single" w:sz="4" w:space="0" w:color="auto"/>
              <w:left w:val="single" w:sz="4" w:space="0" w:color="auto"/>
              <w:bottom w:val="single" w:sz="4" w:space="0" w:color="auto"/>
              <w:right w:val="single" w:sz="4" w:space="0" w:color="auto"/>
            </w:tcBorders>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hAnsi="Verdana"/>
                <w:b/>
                <w:sz w:val="18"/>
                <w:szCs w:val="18"/>
                <w:lang w:val="en-GB"/>
              </w:rPr>
              <w:t>3</w:t>
            </w:r>
          </w:p>
        </w:tc>
        <w:tc>
          <w:tcPr>
            <w:tcW w:w="941" w:type="pct"/>
            <w:gridSpan w:val="3"/>
            <w:tcBorders>
              <w:top w:val="single" w:sz="4" w:space="0" w:color="auto"/>
              <w:left w:val="single" w:sz="4" w:space="0" w:color="auto"/>
              <w:bottom w:val="single" w:sz="4" w:space="0" w:color="auto"/>
              <w:right w:val="single" w:sz="4" w:space="0" w:color="auto"/>
            </w:tcBorders>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hAnsi="Verdana"/>
                <w:b/>
                <w:sz w:val="18"/>
                <w:szCs w:val="18"/>
                <w:lang w:val="en-GB"/>
              </w:rPr>
              <w:t>4</w:t>
            </w:r>
          </w:p>
        </w:tc>
        <w:tc>
          <w:tcPr>
            <w:tcW w:w="870" w:type="pct"/>
            <w:tcBorders>
              <w:top w:val="single" w:sz="4" w:space="0" w:color="auto"/>
              <w:left w:val="single" w:sz="4" w:space="0" w:color="auto"/>
              <w:bottom w:val="single" w:sz="4" w:space="0" w:color="auto"/>
              <w:right w:val="single" w:sz="4" w:space="0" w:color="auto"/>
            </w:tcBorders>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hAnsi="Verdana"/>
                <w:b/>
                <w:sz w:val="18"/>
                <w:szCs w:val="18"/>
                <w:lang w:val="en-GB"/>
              </w:rPr>
              <w:t>5</w:t>
            </w:r>
          </w:p>
        </w:tc>
        <w:tc>
          <w:tcPr>
            <w:tcW w:w="1230" w:type="pct"/>
            <w:tcBorders>
              <w:top w:val="single" w:sz="4" w:space="0" w:color="auto"/>
              <w:left w:val="single" w:sz="4" w:space="0" w:color="auto"/>
              <w:bottom w:val="single" w:sz="4" w:space="0" w:color="auto"/>
              <w:right w:val="single" w:sz="4" w:space="0" w:color="auto"/>
            </w:tcBorders>
            <w:vAlign w:val="center"/>
          </w:tcPr>
          <w:p w:rsidR="0061203A" w:rsidRPr="0061203A" w:rsidRDefault="0061203A" w:rsidP="0061203A">
            <w:pPr>
              <w:overflowPunct w:val="0"/>
              <w:autoSpaceDE w:val="0"/>
              <w:autoSpaceDN w:val="0"/>
              <w:adjustRightInd w:val="0"/>
              <w:spacing w:after="0" w:line="240" w:lineRule="auto"/>
              <w:jc w:val="center"/>
              <w:textAlignment w:val="baseline"/>
              <w:rPr>
                <w:rFonts w:ascii="Verdana" w:hAnsi="Verdana"/>
                <w:b/>
                <w:sz w:val="18"/>
                <w:szCs w:val="18"/>
                <w:lang w:val="en-GB"/>
              </w:rPr>
            </w:pPr>
            <w:r w:rsidRPr="0061203A">
              <w:rPr>
                <w:rFonts w:ascii="Verdana" w:hAnsi="Verdana"/>
                <w:b/>
                <w:sz w:val="18"/>
                <w:szCs w:val="18"/>
                <w:lang w:val="en-GB"/>
              </w:rPr>
              <w:t>6</w:t>
            </w:r>
          </w:p>
        </w:tc>
      </w:tr>
      <w:tr w:rsidR="0061203A" w:rsidRPr="0061203A" w:rsidTr="00B04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09"/>
        </w:trPr>
        <w:tc>
          <w:tcPr>
            <w:tcW w:w="435"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1.</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Artificial lighting in working environments, residential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and public buildings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Illumination</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en-US"/>
              </w:rPr>
            </w:pPr>
            <w:r w:rsidRPr="0061203A">
              <w:rPr>
                <w:rFonts w:ascii="Verdana" w:hAnsi="Verdana"/>
                <w:bCs/>
                <w:sz w:val="17"/>
                <w:szCs w:val="17"/>
              </w:rPr>
              <w:t>МУ  40-85/1985</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01.00</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№2 (SG No. 15/2007);</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№3 (SG No. 15/200, as amended by SG No. 53/2022);</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№9 (SG No. 46/1994);</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№24 (SG No. 95/2003);</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№26 (SG No. 103/2008,</w:t>
            </w:r>
            <w:r w:rsidRPr="0061203A">
              <w:rPr>
                <w:sz w:val="17"/>
                <w:szCs w:val="17"/>
              </w:rPr>
              <w:t xml:space="preserve"> </w:t>
            </w:r>
            <w:r w:rsidRPr="0061203A">
              <w:rPr>
                <w:rFonts w:ascii="Verdana" w:hAnsi="Verdana"/>
                <w:bCs/>
                <w:sz w:val="17"/>
                <w:szCs w:val="17"/>
              </w:rPr>
              <w:t>as amended by SG No. 53/2022);</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№49 (SG No. 7/1976);</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БДС EN ISO 12464-1;</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rPr>
              <w:t>TS</w:t>
            </w:r>
          </w:p>
        </w:tc>
      </w:tr>
      <w:tr w:rsidR="0061203A" w:rsidRPr="0061203A" w:rsidTr="002D6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8"/>
        </w:trPr>
        <w:tc>
          <w:tcPr>
            <w:tcW w:w="435"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2.</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Noise in working environments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B045B8"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Noise level; Peak sound pressure; Equivalent noise level; Daily noise exposure level; Average weekly noise exposure level</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БДС EN ISO 9612 (БДС ISO 1999); </w:t>
            </w:r>
          </w:p>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02.01</w:t>
            </w:r>
          </w:p>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p>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p>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p>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p>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p>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Ordinance No. 6 (SG No. 70/2005); </w:t>
            </w:r>
          </w:p>
          <w:p w:rsidR="0061203A" w:rsidRPr="0061203A"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No. 9 (SG No. 46/1994);</w:t>
            </w:r>
          </w:p>
          <w:p w:rsidR="00B045B8" w:rsidRPr="00B045B8" w:rsidRDefault="0061203A" w:rsidP="005E64A1">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No. 26 (SG No. 103/2008, as amended by SG No. 53/2022); TS</w:t>
            </w:r>
          </w:p>
        </w:tc>
      </w:tr>
      <w:tr w:rsidR="0061203A" w:rsidRPr="0061203A" w:rsidTr="002D6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42"/>
        </w:trPr>
        <w:tc>
          <w:tcPr>
            <w:tcW w:w="435"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3.</w:t>
            </w:r>
          </w:p>
        </w:tc>
        <w:tc>
          <w:tcPr>
            <w:tcW w:w="798" w:type="pct"/>
            <w:tcBorders>
              <w:top w:val="single" w:sz="4" w:space="0" w:color="000000"/>
              <w:left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 Noise in the premises of residential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and public buildings</w:t>
            </w:r>
          </w:p>
        </w:tc>
        <w:tc>
          <w:tcPr>
            <w:tcW w:w="740" w:type="pct"/>
            <w:gridSpan w:val="2"/>
            <w:tcBorders>
              <w:top w:val="single" w:sz="4" w:space="0" w:color="000000"/>
              <w:left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000000"/>
              <w:left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Noise level; Equivalent noise level;</w:t>
            </w:r>
          </w:p>
        </w:tc>
        <w:tc>
          <w:tcPr>
            <w:tcW w:w="886" w:type="pct"/>
            <w:gridSpan w:val="2"/>
            <w:tcBorders>
              <w:top w:val="single" w:sz="4" w:space="0" w:color="000000"/>
              <w:left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sz w:val="17"/>
                <w:szCs w:val="17"/>
              </w:rPr>
            </w:pPr>
            <w:r w:rsidRPr="0061203A">
              <w:rPr>
                <w:rFonts w:ascii="Verdana" w:hAnsi="Verdana"/>
                <w:sz w:val="17"/>
                <w:szCs w:val="17"/>
              </w:rPr>
              <w:t>БДС 15471</w:t>
            </w:r>
          </w:p>
          <w:p w:rsidR="0061203A" w:rsidRPr="0061203A" w:rsidRDefault="0061203A" w:rsidP="0061203A">
            <w:pPr>
              <w:overflowPunct w:val="0"/>
              <w:autoSpaceDE w:val="0"/>
              <w:autoSpaceDN w:val="0"/>
              <w:adjustRightInd w:val="0"/>
              <w:spacing w:after="0" w:line="240" w:lineRule="auto"/>
              <w:textAlignment w:val="baseline"/>
              <w:rPr>
                <w:rFonts w:ascii="Verdana" w:hAnsi="Verdana"/>
                <w:sz w:val="17"/>
                <w:szCs w:val="17"/>
              </w:rPr>
            </w:pPr>
            <w:r w:rsidRPr="0061203A">
              <w:rPr>
                <w:rFonts w:ascii="Verdana" w:hAnsi="Verdana"/>
                <w:sz w:val="17"/>
                <w:szCs w:val="17"/>
              </w:rPr>
              <w:t>РПК 02.02</w:t>
            </w:r>
          </w:p>
        </w:tc>
        <w:tc>
          <w:tcPr>
            <w:tcW w:w="1230" w:type="pct"/>
            <w:tcBorders>
              <w:top w:val="single" w:sz="4" w:space="0" w:color="000000"/>
              <w:left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№2 (SG 15/2007);</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№6 Annex №2, Table №1 (SG No. 58/2006);</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№9 (SG No. 46/1994);</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№24 (SG No. 95/2003);</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 26 (SG No. 103/2022);</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rPr>
              <w:t>TS.</w:t>
            </w:r>
          </w:p>
        </w:tc>
      </w:tr>
      <w:tr w:rsidR="0061203A" w:rsidRPr="0061203A" w:rsidTr="002D6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5"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4.</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Environmental noise</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Equivalent noise level</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rPr>
              <w:t>БДС</w:t>
            </w:r>
            <w:r w:rsidRPr="0061203A">
              <w:rPr>
                <w:rFonts w:ascii="Verdana" w:hAnsi="Verdana"/>
                <w:bCs/>
                <w:sz w:val="17"/>
                <w:szCs w:val="17"/>
                <w:lang w:val="de-DE"/>
              </w:rPr>
              <w:t xml:space="preserve"> 15471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rPr>
              <w:t xml:space="preserve">РПК </w:t>
            </w:r>
            <w:r w:rsidRPr="0061203A">
              <w:rPr>
                <w:rFonts w:ascii="Verdana" w:hAnsi="Verdana"/>
                <w:bCs/>
                <w:sz w:val="17"/>
                <w:szCs w:val="17"/>
                <w:lang w:val="de-DE"/>
              </w:rPr>
              <w:t>02.03</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Ordinance № 6 (SG No.58/2006, as amended and supplemented by SG No.24/25.03.2022),Supplement №2, Table 2;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rPr>
              <w:t>TS</w:t>
            </w:r>
          </w:p>
        </w:tc>
      </w:tr>
      <w:tr w:rsidR="0061203A" w:rsidRPr="0061203A" w:rsidTr="002D6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5"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5.</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Microclimate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in working environments, residential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and public buildings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Air temperature; Relative air humidity; Air velocity  </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БДС 16686; Ordinance № RD-07-3, SG №63/2014;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03.00</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№2 (SG No. 15/2007);</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Ordinance №3 (SG No. 15/2007, as amended by SG No. 53/2022); </w:t>
            </w:r>
            <w:r w:rsidRPr="0061203A">
              <w:rPr>
                <w:rFonts w:ascii="Verdana" w:hAnsi="Verdana"/>
                <w:bCs/>
                <w:sz w:val="17"/>
                <w:szCs w:val="17"/>
              </w:rPr>
              <w:lastRenderedPageBreak/>
              <w:t>Ordinance №9 (SG No. 46/1994);</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 24 (SG No.95/2003);</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 26 (SG No.103/2008, as amended by SG No. 53/2022);</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 РД-07-3 (SG No. 63/2014);</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БДС 14776;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TS.</w:t>
            </w:r>
          </w:p>
        </w:tc>
      </w:tr>
      <w:tr w:rsidR="0061203A" w:rsidRPr="0061203A" w:rsidTr="002D6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5"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lastRenderedPageBreak/>
              <w:t>6.</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Ventilation installations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Air flow velocity;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Air flow rate</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БДС 12.3.018</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10</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№15 (SG No. 68/2005);</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№24 (SG No. 95/2003);</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TS.</w:t>
            </w:r>
          </w:p>
        </w:tc>
      </w:tr>
      <w:tr w:rsidR="0061203A" w:rsidRPr="0061203A" w:rsidTr="002D6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5"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7.</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Chemical agents in the air of working environments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Concentration of chemical agents in the air at the workplace</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БДС EN 689+AC</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БДС EN 482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04.03</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 13 (SG No. 8/2004, as amended by SG No. 47/2021);</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en-US"/>
              </w:rPr>
            </w:pPr>
            <w:r w:rsidRPr="0061203A">
              <w:rPr>
                <w:rFonts w:ascii="Verdana" w:hAnsi="Verdana"/>
                <w:bCs/>
                <w:sz w:val="17"/>
                <w:szCs w:val="17"/>
              </w:rPr>
              <w:t>Ordinance № 10 (updated by SG No. 94/2001, as amended and supplemented by SG No. 47/2021); TS.</w:t>
            </w:r>
          </w:p>
        </w:tc>
      </w:tr>
      <w:tr w:rsidR="0061203A" w:rsidRPr="0061203A" w:rsidTr="002D6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5" w:type="pct"/>
            <w:tcBorders>
              <w:top w:val="single" w:sz="4" w:space="0" w:color="000000"/>
              <w:left w:val="single" w:sz="4" w:space="0" w:color="000000"/>
              <w:bottom w:val="single" w:sz="4" w:space="0" w:color="auto"/>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8.</w:t>
            </w:r>
          </w:p>
        </w:tc>
        <w:tc>
          <w:tcPr>
            <w:tcW w:w="798" w:type="pct"/>
            <w:tcBorders>
              <w:top w:val="single" w:sz="4" w:space="0" w:color="000000"/>
              <w:left w:val="single" w:sz="4" w:space="0" w:color="000000"/>
              <w:bottom w:val="single" w:sz="4" w:space="0" w:color="auto"/>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Dust in the air of working environments</w:t>
            </w:r>
          </w:p>
        </w:tc>
        <w:tc>
          <w:tcPr>
            <w:tcW w:w="740" w:type="pct"/>
            <w:gridSpan w:val="2"/>
            <w:tcBorders>
              <w:top w:val="single" w:sz="4" w:space="0" w:color="000000"/>
              <w:left w:val="single" w:sz="4" w:space="0" w:color="000000"/>
              <w:bottom w:val="single" w:sz="4" w:space="0" w:color="auto"/>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000000"/>
              <w:left w:val="single" w:sz="4" w:space="0" w:color="000000"/>
              <w:bottom w:val="single" w:sz="4" w:space="0" w:color="auto"/>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Concentration of dust in the air at the workplace (inhalable fraction)</w:t>
            </w:r>
          </w:p>
        </w:tc>
        <w:tc>
          <w:tcPr>
            <w:tcW w:w="886" w:type="pct"/>
            <w:gridSpan w:val="2"/>
            <w:tcBorders>
              <w:top w:val="single" w:sz="4" w:space="0" w:color="000000"/>
              <w:left w:val="single" w:sz="4" w:space="0" w:color="000000"/>
              <w:bottom w:val="single" w:sz="4" w:space="0" w:color="auto"/>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БДС EN 482</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БДС EN 689+ AC</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БДС 2200</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05.03</w:t>
            </w:r>
          </w:p>
        </w:tc>
        <w:tc>
          <w:tcPr>
            <w:tcW w:w="1230" w:type="pct"/>
            <w:tcBorders>
              <w:top w:val="single" w:sz="4" w:space="0" w:color="000000"/>
              <w:left w:val="single" w:sz="4" w:space="0" w:color="000000"/>
              <w:bottom w:val="single" w:sz="4" w:space="0" w:color="auto"/>
              <w:right w:val="single" w:sz="4" w:space="0" w:color="000000"/>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 13 (SG No. 8/2004, as amended by SG No. 47/2021);</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rPr>
              <w:t>Ordinance № 10 (updated by SG No. 94/2001, as amended and supplemented by SG No. 47/2021); TS</w:t>
            </w:r>
          </w:p>
        </w:tc>
      </w:tr>
      <w:tr w:rsidR="0061203A" w:rsidRPr="0061203A" w:rsidTr="00E54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96"/>
        </w:trPr>
        <w:tc>
          <w:tcPr>
            <w:tcW w:w="435" w:type="pct"/>
            <w:vMerge w:val="restar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9.</w:t>
            </w:r>
          </w:p>
        </w:tc>
        <w:tc>
          <w:tcPr>
            <w:tcW w:w="798" w:type="pct"/>
            <w:vMerge w:val="restar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Electrical installations and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equipment for voltages of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up to 1000 V</w:t>
            </w:r>
          </w:p>
        </w:tc>
        <w:tc>
          <w:tcPr>
            <w:tcW w:w="740"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Impedance Zs of the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‘Phase – protective conductor’</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contour</w:t>
            </w:r>
          </w:p>
        </w:tc>
        <w:tc>
          <w:tcPr>
            <w:tcW w:w="886" w:type="pct"/>
            <w:gridSpan w:val="2"/>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06.00</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№16-116 (SG No. 26/2008);</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Ordinance №3 (SG No. 90 and 91/2004);</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rPr>
              <w:t>TS</w:t>
            </w:r>
          </w:p>
        </w:tc>
      </w:tr>
      <w:tr w:rsidR="0061203A" w:rsidRPr="0061203A" w:rsidTr="002D6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10"/>
        </w:trPr>
        <w:tc>
          <w:tcPr>
            <w:tcW w:w="435" w:type="pct"/>
            <w:vMerge/>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798" w:type="pct"/>
            <w:vMerge/>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740" w:type="pct"/>
            <w:gridSpan w:val="2"/>
            <w:vMerge/>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Resistance of protective earthing systems</w:t>
            </w:r>
          </w:p>
        </w:tc>
        <w:tc>
          <w:tcPr>
            <w:tcW w:w="886" w:type="pct"/>
            <w:gridSpan w:val="2"/>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07.00</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lang w:val="de-DE"/>
              </w:rPr>
              <w:t>Ordinance №16-116 (SG No. 26/2008);</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lang w:val="de-DE"/>
              </w:rPr>
              <w:t>Ordinance №3 (SG No. 90 and 91/2004);</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lang w:val="de-DE"/>
              </w:rPr>
              <w:t>TS</w:t>
            </w:r>
          </w:p>
        </w:tc>
      </w:tr>
      <w:tr w:rsidR="0061203A" w:rsidRPr="0061203A" w:rsidTr="002D6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4"/>
        </w:trPr>
        <w:tc>
          <w:tcPr>
            <w:tcW w:w="435" w:type="pct"/>
            <w:vMerge/>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798" w:type="pct"/>
            <w:vMerge/>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740" w:type="pct"/>
            <w:gridSpan w:val="2"/>
            <w:vMerge/>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Resistance of lightning protection earthing systems</w:t>
            </w:r>
          </w:p>
        </w:tc>
        <w:tc>
          <w:tcPr>
            <w:tcW w:w="886" w:type="pct"/>
            <w:gridSpan w:val="2"/>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08.00</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lang w:val="de-DE"/>
              </w:rPr>
              <w:t>Ordinance No. 4 (SG No. 6/2011); TS</w:t>
            </w:r>
          </w:p>
        </w:tc>
      </w:tr>
      <w:tr w:rsidR="0061203A" w:rsidRPr="0061203A" w:rsidTr="005E6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4"/>
        </w:trPr>
        <w:tc>
          <w:tcPr>
            <w:tcW w:w="435" w:type="pct"/>
            <w:vMerge/>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798" w:type="pct"/>
            <w:vMerge/>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740" w:type="pct"/>
            <w:gridSpan w:val="2"/>
            <w:vMerge/>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Zero sequence current protective circuit-breakers – actuating current, turn off time, contact voltage</w:t>
            </w:r>
          </w:p>
        </w:tc>
        <w:tc>
          <w:tcPr>
            <w:tcW w:w="886" w:type="pct"/>
            <w:gridSpan w:val="2"/>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RPK 09.00</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lang w:val="de-DE"/>
              </w:rPr>
              <w:t>Ordinance №16-116 (SG No. 26/2008);</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lang w:val="de-DE"/>
              </w:rPr>
              <w:t>Ordinance №3 (SG No. 90 and 91/2004);</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lang w:val="de-DE"/>
              </w:rPr>
              <w:t>TS</w:t>
            </w:r>
          </w:p>
        </w:tc>
      </w:tr>
      <w:tr w:rsidR="0061203A" w:rsidRPr="0061203A" w:rsidTr="005E6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69"/>
        </w:trPr>
        <w:tc>
          <w:tcPr>
            <w:tcW w:w="435"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 xml:space="preserve">New premises and/or such </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in operation</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Isolation resistance</w:t>
            </w:r>
          </w:p>
        </w:tc>
        <w:tc>
          <w:tcPr>
            <w:tcW w:w="886" w:type="pct"/>
            <w:gridSpan w:val="2"/>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РПК 13.00</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БДС 1986</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rPr>
            </w:pPr>
            <w:r w:rsidRPr="0061203A">
              <w:rPr>
                <w:rFonts w:ascii="Verdana" w:hAnsi="Verdana"/>
                <w:bCs/>
                <w:sz w:val="17"/>
                <w:szCs w:val="17"/>
              </w:rPr>
              <w:t>It.3.3 а), б), д), е)</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lang w:val="de-DE"/>
              </w:rPr>
              <w:t>Ordinance №3 (SG No. 90 and 91/2004);</w:t>
            </w:r>
          </w:p>
          <w:p w:rsidR="0061203A" w:rsidRPr="0061203A" w:rsidRDefault="0061203A" w:rsidP="0061203A">
            <w:pPr>
              <w:overflowPunct w:val="0"/>
              <w:autoSpaceDE w:val="0"/>
              <w:autoSpaceDN w:val="0"/>
              <w:adjustRightInd w:val="0"/>
              <w:spacing w:after="0" w:line="240" w:lineRule="auto"/>
              <w:textAlignment w:val="baseline"/>
              <w:rPr>
                <w:rFonts w:ascii="Verdana" w:hAnsi="Verdana"/>
                <w:bCs/>
                <w:sz w:val="17"/>
                <w:szCs w:val="17"/>
                <w:lang w:val="de-DE"/>
              </w:rPr>
            </w:pPr>
            <w:r w:rsidRPr="0061203A">
              <w:rPr>
                <w:rFonts w:ascii="Verdana" w:hAnsi="Verdana"/>
                <w:bCs/>
                <w:sz w:val="17"/>
                <w:szCs w:val="17"/>
                <w:lang w:val="de-DE"/>
              </w:rPr>
              <w:t>Ordinance №16-116 (SG No. 26/2008); TS</w:t>
            </w:r>
          </w:p>
        </w:tc>
      </w:tr>
    </w:tbl>
    <w:p w:rsidR="0061203A" w:rsidRPr="0061203A" w:rsidRDefault="0061203A" w:rsidP="0061203A">
      <w:pPr>
        <w:overflowPunct w:val="0"/>
        <w:autoSpaceDE w:val="0"/>
        <w:autoSpaceDN w:val="0"/>
        <w:adjustRightInd w:val="0"/>
        <w:spacing w:after="0" w:line="240" w:lineRule="auto"/>
        <w:textAlignment w:val="baseline"/>
        <w:rPr>
          <w:rFonts w:ascii="Verdana" w:hAnsi="Verdana"/>
          <w:bCs/>
          <w:i/>
          <w:sz w:val="16"/>
          <w:szCs w:val="18"/>
        </w:rPr>
      </w:pPr>
      <w:r w:rsidRPr="0061203A">
        <w:rPr>
          <w:rFonts w:ascii="Verdana" w:hAnsi="Verdana"/>
          <w:bCs/>
          <w:i/>
          <w:sz w:val="16"/>
          <w:szCs w:val="18"/>
        </w:rPr>
        <w:t>* The introduction of a new version of standards/documents or superseding standards/documents is permitted. An up-to-date list of standards/documents specifying their dated versions is provided by the CAB.</w:t>
      </w:r>
    </w:p>
    <w:p w:rsidR="0061203A" w:rsidRPr="0061203A" w:rsidRDefault="0061203A" w:rsidP="0061203A">
      <w:pPr>
        <w:overflowPunct w:val="0"/>
        <w:autoSpaceDE w:val="0"/>
        <w:autoSpaceDN w:val="0"/>
        <w:adjustRightInd w:val="0"/>
        <w:spacing w:after="0" w:line="240" w:lineRule="auto"/>
        <w:textAlignment w:val="baseline"/>
        <w:rPr>
          <w:rFonts w:ascii="Verdana" w:hAnsi="Verdana"/>
          <w:b/>
          <w:bCs/>
          <w:sz w:val="17"/>
          <w:szCs w:val="17"/>
        </w:rPr>
      </w:pPr>
      <w:r w:rsidRPr="0061203A">
        <w:rPr>
          <w:rFonts w:ascii="Verdana" w:hAnsi="Verdana"/>
          <w:b/>
          <w:bCs/>
          <w:sz w:val="17"/>
          <w:szCs w:val="17"/>
        </w:rPr>
        <w:t>References:</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2 on the health requirements for computer and internet centres for public use (SG No. 15/2007);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3 on the health requirements for kindergartens - SG No. 15/2007, as amended by SG No. 53/2022;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24 on the sanitary and hygienic requirements for discotheques (SG No. 95/2003);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Ordinance No. 9 on the hygienic requirements for the use of personal computers in student education (SG No. 46/1994);</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RD - 07-3 on the minimum requirements for the microclimate at workplace of 18.07.2014, promulgated in SG No. 63 of 01.08.2014;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49 on the artificial lighting in buildings (SG No. 7/1976);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lastRenderedPageBreak/>
        <w:t xml:space="preserve">Ordinance No. 6 on the minimum requirements for ensuring the health and safety of workers exposed to noise risks (SG, No. 70/2005);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6 - SG No. 58/2006 on the indicators of environmental noise taking into account the degree of discomfort during different parts of the day, the limit values of the indicators of environmental noise, noise in the premises of residential and public buildings, noise in areas and territories intended for housing construction, noise in recreational areas and mixed-use territories and areas, the methods for assessment of the values of noise indicators and the harmful effects of noise on public health (title amended by SG No. 100 of 2021), as amended and supplemented by SG No. 24/25.03.2022);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7 on the minimum requirements for health and safety at work upon the use of working equipment (SG No. 88/1999);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26 on the structure and activity of nurseries and children's kitchens and the health requirements for them (SG No. 103/2008, as amended by SG No. 53/2022);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3, SG No. 90 &amp; 91/2004 on the design and structure of electrical installations and power lines;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16 - 116, SG No. 26/2008 on the technical operation of energy equipment;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4, SG No. 6/2011 on the lightning protection of buildings, outdoor facilities and open spaces; Ordinance No. 15 on the technical rules and regulations for design, construction and operation of sites and facilities for production, transmission and distribution of heat (SG No. 68/2005);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13 on the protection of workers from risks associated with exposure to chemical agents at work, (SG No. 8/2004, as amended by SG No. 47/2021);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 xml:space="preserve">Ordinance No. 10 (SG No. 94/2003, as last amended by SG No. 47 of 04.06.2021) on the protection of workers from risks associated with exposure to carcinogens and mutagens at work. </w:t>
      </w:r>
    </w:p>
    <w:p w:rsidR="0061203A" w:rsidRPr="0061203A" w:rsidRDefault="0061203A" w:rsidP="0061203A">
      <w:pPr>
        <w:overflowPunct w:val="0"/>
        <w:autoSpaceDE w:val="0"/>
        <w:autoSpaceDN w:val="0"/>
        <w:adjustRightInd w:val="0"/>
        <w:spacing w:after="0" w:line="240" w:lineRule="auto"/>
        <w:jc w:val="both"/>
        <w:textAlignment w:val="baseline"/>
        <w:rPr>
          <w:rFonts w:ascii="Verdana" w:hAnsi="Verdana"/>
          <w:bCs/>
          <w:sz w:val="16"/>
          <w:szCs w:val="17"/>
        </w:rPr>
      </w:pPr>
      <w:r w:rsidRPr="0061203A">
        <w:rPr>
          <w:rFonts w:ascii="Verdana" w:hAnsi="Verdana"/>
          <w:bCs/>
          <w:sz w:val="16"/>
          <w:szCs w:val="17"/>
        </w:rPr>
        <w:t>TS - Technical specification.</w:t>
      </w:r>
    </w:p>
    <w:p w:rsidR="0061203A" w:rsidRDefault="0061203A" w:rsidP="0061203A">
      <w:pPr>
        <w:overflowPunct w:val="0"/>
        <w:autoSpaceDE w:val="0"/>
        <w:autoSpaceDN w:val="0"/>
        <w:adjustRightInd w:val="0"/>
        <w:spacing w:after="0" w:line="240" w:lineRule="auto"/>
        <w:textAlignment w:val="baseline"/>
        <w:rPr>
          <w:rFonts w:ascii="Verdana" w:hAnsi="Verdana"/>
          <w:i/>
          <w:iCs/>
          <w:sz w:val="17"/>
          <w:szCs w:val="17"/>
        </w:rPr>
      </w:pPr>
    </w:p>
    <w:p w:rsidR="005E64A1" w:rsidRDefault="005E64A1" w:rsidP="0061203A">
      <w:pPr>
        <w:overflowPunct w:val="0"/>
        <w:autoSpaceDE w:val="0"/>
        <w:autoSpaceDN w:val="0"/>
        <w:adjustRightInd w:val="0"/>
        <w:spacing w:after="0" w:line="240" w:lineRule="auto"/>
        <w:textAlignment w:val="baseline"/>
        <w:rPr>
          <w:rFonts w:ascii="Verdana" w:hAnsi="Verdana"/>
          <w:i/>
          <w:iCs/>
          <w:sz w:val="17"/>
          <w:szCs w:val="17"/>
        </w:rPr>
      </w:pPr>
    </w:p>
    <w:p w:rsidR="00622F86" w:rsidRPr="002B45F9" w:rsidRDefault="00622F86" w:rsidP="002B45F9">
      <w:pPr>
        <w:pStyle w:val="NoSpacing"/>
        <w:rPr>
          <w:rFonts w:ascii="Verdana" w:hAnsi="Verdana"/>
          <w:sz w:val="16"/>
          <w:szCs w:val="20"/>
        </w:rPr>
      </w:pPr>
    </w:p>
    <w:sectPr w:rsidR="00622F86" w:rsidRPr="002B45F9" w:rsidSect="007C581F">
      <w:footerReference w:type="default" r:id="rId8"/>
      <w:headerReference w:type="first" r:id="rId9"/>
      <w:footerReference w:type="first" r:id="rId10"/>
      <w:pgSz w:w="11907" w:h="16840" w:code="9"/>
      <w:pgMar w:top="993" w:right="1134" w:bottom="567" w:left="1701" w:header="709" w:footer="202"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25C" w:rsidRDefault="0000325C" w:rsidP="00434DCF">
      <w:pPr>
        <w:spacing w:after="0" w:line="240" w:lineRule="auto"/>
      </w:pPr>
      <w:r>
        <w:separator/>
      </w:r>
    </w:p>
  </w:endnote>
  <w:endnote w:type="continuationSeparator" w:id="0">
    <w:p w:rsidR="0000325C" w:rsidRDefault="0000325C" w:rsidP="0043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5C" w:rsidRDefault="0000325C">
    <w:pPr>
      <w:pStyle w:val="Footer"/>
    </w:pPr>
  </w:p>
  <w:p w:rsidR="0000325C" w:rsidRDefault="0000325C"/>
  <w:p w:rsidR="0000325C" w:rsidRDefault="0000325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5C" w:rsidRPr="002C05FA" w:rsidRDefault="0000325C" w:rsidP="007C581F">
    <w:pPr>
      <w:pStyle w:val="Footer"/>
      <w:pBdr>
        <w:top w:val="single" w:sz="4" w:space="1" w:color="D9D9D9"/>
      </w:pBdr>
      <w:jc w:val="center"/>
      <w:rPr>
        <w:rFonts w:ascii="Verdana" w:hAnsi="Verdana"/>
        <w:sz w:val="16"/>
        <w:szCs w:val="16"/>
      </w:rPr>
    </w:pPr>
    <w:r>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25C" w:rsidRDefault="0000325C" w:rsidP="00434DCF">
      <w:pPr>
        <w:spacing w:after="0" w:line="240" w:lineRule="auto"/>
      </w:pPr>
      <w:r>
        <w:separator/>
      </w:r>
    </w:p>
  </w:footnote>
  <w:footnote w:type="continuationSeparator" w:id="0">
    <w:p w:rsidR="0000325C" w:rsidRDefault="0000325C" w:rsidP="0043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5C" w:rsidRPr="00434DCF" w:rsidRDefault="0000325C" w:rsidP="00434DCF">
    <w:pPr>
      <w:overflowPunct w:val="0"/>
      <w:autoSpaceDE w:val="0"/>
      <w:autoSpaceDN w:val="0"/>
      <w:adjustRightInd w:val="0"/>
      <w:spacing w:after="0" w:line="240" w:lineRule="auto"/>
      <w:ind w:left="1260"/>
      <w:textAlignment w:val="baseline"/>
      <w:rPr>
        <w:rFonts w:ascii="Verdana" w:eastAsia="Times New Roman" w:hAnsi="Verdana" w:cs="Times New Roman"/>
        <w:b/>
        <w:i/>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D2C3C"/>
    <w:multiLevelType w:val="hybridMultilevel"/>
    <w:tmpl w:val="494A3104"/>
    <w:lvl w:ilvl="0" w:tplc="BD282090">
      <w:numFmt w:val="bullet"/>
      <w:lvlText w:val="-"/>
      <w:lvlJc w:val="left"/>
      <w:pPr>
        <w:ind w:left="108" w:hanging="106"/>
      </w:pPr>
      <w:rPr>
        <w:rFonts w:ascii="Calibri" w:eastAsia="Calibri" w:hAnsi="Calibri" w:cs="Calibri" w:hint="default"/>
        <w:w w:val="99"/>
        <w:sz w:val="20"/>
        <w:szCs w:val="20"/>
        <w:lang w:val="en-US" w:eastAsia="en-US" w:bidi="ar-SA"/>
      </w:rPr>
    </w:lvl>
    <w:lvl w:ilvl="1" w:tplc="763651BC">
      <w:numFmt w:val="bullet"/>
      <w:lvlText w:val="•"/>
      <w:lvlJc w:val="left"/>
      <w:pPr>
        <w:ind w:left="287" w:hanging="106"/>
      </w:pPr>
      <w:rPr>
        <w:rFonts w:hint="default"/>
        <w:lang w:val="en-US" w:eastAsia="en-US" w:bidi="ar-SA"/>
      </w:rPr>
    </w:lvl>
    <w:lvl w:ilvl="2" w:tplc="12E2E35C">
      <w:numFmt w:val="bullet"/>
      <w:lvlText w:val="•"/>
      <w:lvlJc w:val="left"/>
      <w:pPr>
        <w:ind w:left="474" w:hanging="106"/>
      </w:pPr>
      <w:rPr>
        <w:rFonts w:hint="default"/>
        <w:lang w:val="en-US" w:eastAsia="en-US" w:bidi="ar-SA"/>
      </w:rPr>
    </w:lvl>
    <w:lvl w:ilvl="3" w:tplc="C5E21D6C">
      <w:numFmt w:val="bullet"/>
      <w:lvlText w:val="•"/>
      <w:lvlJc w:val="left"/>
      <w:pPr>
        <w:ind w:left="661" w:hanging="106"/>
      </w:pPr>
      <w:rPr>
        <w:rFonts w:hint="default"/>
        <w:lang w:val="en-US" w:eastAsia="en-US" w:bidi="ar-SA"/>
      </w:rPr>
    </w:lvl>
    <w:lvl w:ilvl="4" w:tplc="F7C4D938">
      <w:numFmt w:val="bullet"/>
      <w:lvlText w:val="•"/>
      <w:lvlJc w:val="left"/>
      <w:pPr>
        <w:ind w:left="848" w:hanging="106"/>
      </w:pPr>
      <w:rPr>
        <w:rFonts w:hint="default"/>
        <w:lang w:val="en-US" w:eastAsia="en-US" w:bidi="ar-SA"/>
      </w:rPr>
    </w:lvl>
    <w:lvl w:ilvl="5" w:tplc="B3122B04">
      <w:numFmt w:val="bullet"/>
      <w:lvlText w:val="•"/>
      <w:lvlJc w:val="left"/>
      <w:pPr>
        <w:ind w:left="1036" w:hanging="106"/>
      </w:pPr>
      <w:rPr>
        <w:rFonts w:hint="default"/>
        <w:lang w:val="en-US" w:eastAsia="en-US" w:bidi="ar-SA"/>
      </w:rPr>
    </w:lvl>
    <w:lvl w:ilvl="6" w:tplc="867CD9D0">
      <w:numFmt w:val="bullet"/>
      <w:lvlText w:val="•"/>
      <w:lvlJc w:val="left"/>
      <w:pPr>
        <w:ind w:left="1223" w:hanging="106"/>
      </w:pPr>
      <w:rPr>
        <w:rFonts w:hint="default"/>
        <w:lang w:val="en-US" w:eastAsia="en-US" w:bidi="ar-SA"/>
      </w:rPr>
    </w:lvl>
    <w:lvl w:ilvl="7" w:tplc="8A4061D8">
      <w:numFmt w:val="bullet"/>
      <w:lvlText w:val="•"/>
      <w:lvlJc w:val="left"/>
      <w:pPr>
        <w:ind w:left="1410" w:hanging="106"/>
      </w:pPr>
      <w:rPr>
        <w:rFonts w:hint="default"/>
        <w:lang w:val="en-US" w:eastAsia="en-US" w:bidi="ar-SA"/>
      </w:rPr>
    </w:lvl>
    <w:lvl w:ilvl="8" w:tplc="0A42FF4A">
      <w:numFmt w:val="bullet"/>
      <w:lvlText w:val="•"/>
      <w:lvlJc w:val="left"/>
      <w:pPr>
        <w:ind w:left="1597" w:hanging="106"/>
      </w:pPr>
      <w:rPr>
        <w:rFonts w:hint="default"/>
        <w:lang w:val="en-US" w:eastAsia="en-US" w:bidi="ar-SA"/>
      </w:rPr>
    </w:lvl>
  </w:abstractNum>
  <w:abstractNum w:abstractNumId="1" w15:restartNumberingAfterBreak="0">
    <w:nsid w:val="63DC3371"/>
    <w:multiLevelType w:val="hybridMultilevel"/>
    <w:tmpl w:val="1EC4C5CA"/>
    <w:lvl w:ilvl="0" w:tplc="F176D79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56E18"/>
    <w:multiLevelType w:val="hybridMultilevel"/>
    <w:tmpl w:val="359CEB06"/>
    <w:lvl w:ilvl="0" w:tplc="29FE622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6C"/>
    <w:rsid w:val="00000258"/>
    <w:rsid w:val="0000325C"/>
    <w:rsid w:val="00007101"/>
    <w:rsid w:val="00051E27"/>
    <w:rsid w:val="00052024"/>
    <w:rsid w:val="0006314A"/>
    <w:rsid w:val="000B0F55"/>
    <w:rsid w:val="000C0D8C"/>
    <w:rsid w:val="000F659C"/>
    <w:rsid w:val="001033AE"/>
    <w:rsid w:val="00112ABA"/>
    <w:rsid w:val="0011353C"/>
    <w:rsid w:val="00123D2D"/>
    <w:rsid w:val="00141A84"/>
    <w:rsid w:val="0017616C"/>
    <w:rsid w:val="00194B7F"/>
    <w:rsid w:val="001A72EF"/>
    <w:rsid w:val="001B271C"/>
    <w:rsid w:val="001B55D4"/>
    <w:rsid w:val="001F2D97"/>
    <w:rsid w:val="002060E8"/>
    <w:rsid w:val="002061F7"/>
    <w:rsid w:val="00212474"/>
    <w:rsid w:val="00214D8B"/>
    <w:rsid w:val="002414AF"/>
    <w:rsid w:val="00246D56"/>
    <w:rsid w:val="00251E0D"/>
    <w:rsid w:val="00255C6D"/>
    <w:rsid w:val="00281518"/>
    <w:rsid w:val="00294259"/>
    <w:rsid w:val="002A4214"/>
    <w:rsid w:val="002A4AFD"/>
    <w:rsid w:val="002B45F9"/>
    <w:rsid w:val="002C4836"/>
    <w:rsid w:val="002C73EF"/>
    <w:rsid w:val="002E26AD"/>
    <w:rsid w:val="00306344"/>
    <w:rsid w:val="003072DB"/>
    <w:rsid w:val="00325D22"/>
    <w:rsid w:val="00333DF0"/>
    <w:rsid w:val="003562AF"/>
    <w:rsid w:val="00376146"/>
    <w:rsid w:val="00392DA8"/>
    <w:rsid w:val="003A3A66"/>
    <w:rsid w:val="003E5912"/>
    <w:rsid w:val="003F4433"/>
    <w:rsid w:val="00410F02"/>
    <w:rsid w:val="004219EA"/>
    <w:rsid w:val="00426540"/>
    <w:rsid w:val="00434DCF"/>
    <w:rsid w:val="0047234F"/>
    <w:rsid w:val="004A5DE7"/>
    <w:rsid w:val="004B0F1F"/>
    <w:rsid w:val="004B4DE6"/>
    <w:rsid w:val="004C3849"/>
    <w:rsid w:val="004E2BD2"/>
    <w:rsid w:val="00502F9E"/>
    <w:rsid w:val="00524CCC"/>
    <w:rsid w:val="00534E6A"/>
    <w:rsid w:val="00565513"/>
    <w:rsid w:val="005A5DD8"/>
    <w:rsid w:val="005B50FD"/>
    <w:rsid w:val="005E64A1"/>
    <w:rsid w:val="005F293F"/>
    <w:rsid w:val="0060625F"/>
    <w:rsid w:val="0061203A"/>
    <w:rsid w:val="0061371D"/>
    <w:rsid w:val="0061386F"/>
    <w:rsid w:val="00613F6E"/>
    <w:rsid w:val="00614151"/>
    <w:rsid w:val="006147F2"/>
    <w:rsid w:val="006174CB"/>
    <w:rsid w:val="00620CFA"/>
    <w:rsid w:val="00621417"/>
    <w:rsid w:val="00622F86"/>
    <w:rsid w:val="00632808"/>
    <w:rsid w:val="00650333"/>
    <w:rsid w:val="00652A3D"/>
    <w:rsid w:val="00654671"/>
    <w:rsid w:val="00661C82"/>
    <w:rsid w:val="00662571"/>
    <w:rsid w:val="0067412C"/>
    <w:rsid w:val="006866B3"/>
    <w:rsid w:val="00690A13"/>
    <w:rsid w:val="006A7062"/>
    <w:rsid w:val="006A74A7"/>
    <w:rsid w:val="006B74B8"/>
    <w:rsid w:val="006C20F1"/>
    <w:rsid w:val="006C48E7"/>
    <w:rsid w:val="006F1377"/>
    <w:rsid w:val="007175F8"/>
    <w:rsid w:val="00723ABA"/>
    <w:rsid w:val="007309B0"/>
    <w:rsid w:val="0075106B"/>
    <w:rsid w:val="00754CDC"/>
    <w:rsid w:val="00785942"/>
    <w:rsid w:val="007A132B"/>
    <w:rsid w:val="007C581F"/>
    <w:rsid w:val="007E509B"/>
    <w:rsid w:val="007F1695"/>
    <w:rsid w:val="007F6EA7"/>
    <w:rsid w:val="00807906"/>
    <w:rsid w:val="00817EEF"/>
    <w:rsid w:val="008231DA"/>
    <w:rsid w:val="00853799"/>
    <w:rsid w:val="00863AA4"/>
    <w:rsid w:val="008742D1"/>
    <w:rsid w:val="00894B31"/>
    <w:rsid w:val="008A391F"/>
    <w:rsid w:val="008A62FC"/>
    <w:rsid w:val="008C7A08"/>
    <w:rsid w:val="008D62E2"/>
    <w:rsid w:val="008D6A35"/>
    <w:rsid w:val="008E7D10"/>
    <w:rsid w:val="0091341C"/>
    <w:rsid w:val="009147F9"/>
    <w:rsid w:val="00953065"/>
    <w:rsid w:val="00953DD1"/>
    <w:rsid w:val="00954D5F"/>
    <w:rsid w:val="00977B6E"/>
    <w:rsid w:val="009878FA"/>
    <w:rsid w:val="00987CAD"/>
    <w:rsid w:val="009A237A"/>
    <w:rsid w:val="009B1295"/>
    <w:rsid w:val="009C1318"/>
    <w:rsid w:val="009D287E"/>
    <w:rsid w:val="009F24C6"/>
    <w:rsid w:val="00A134D1"/>
    <w:rsid w:val="00A2721B"/>
    <w:rsid w:val="00A33714"/>
    <w:rsid w:val="00A517C1"/>
    <w:rsid w:val="00A627CB"/>
    <w:rsid w:val="00A82419"/>
    <w:rsid w:val="00A87CFE"/>
    <w:rsid w:val="00AD6DD3"/>
    <w:rsid w:val="00AF371B"/>
    <w:rsid w:val="00B01D73"/>
    <w:rsid w:val="00B045B8"/>
    <w:rsid w:val="00B1156B"/>
    <w:rsid w:val="00B55D66"/>
    <w:rsid w:val="00B64143"/>
    <w:rsid w:val="00B70D94"/>
    <w:rsid w:val="00BA1972"/>
    <w:rsid w:val="00BB36ED"/>
    <w:rsid w:val="00BB560D"/>
    <w:rsid w:val="00BD5CE4"/>
    <w:rsid w:val="00BD7B66"/>
    <w:rsid w:val="00BE2F41"/>
    <w:rsid w:val="00C01D22"/>
    <w:rsid w:val="00C26D49"/>
    <w:rsid w:val="00C46297"/>
    <w:rsid w:val="00C52F37"/>
    <w:rsid w:val="00C86622"/>
    <w:rsid w:val="00CA3AA1"/>
    <w:rsid w:val="00CA6B15"/>
    <w:rsid w:val="00CF00D1"/>
    <w:rsid w:val="00CF16F8"/>
    <w:rsid w:val="00D00218"/>
    <w:rsid w:val="00D064A3"/>
    <w:rsid w:val="00D323F7"/>
    <w:rsid w:val="00D405CA"/>
    <w:rsid w:val="00D50F8A"/>
    <w:rsid w:val="00D67CA8"/>
    <w:rsid w:val="00D7333B"/>
    <w:rsid w:val="00D86CA7"/>
    <w:rsid w:val="00DA649C"/>
    <w:rsid w:val="00DB4F20"/>
    <w:rsid w:val="00DF3D04"/>
    <w:rsid w:val="00DF58F8"/>
    <w:rsid w:val="00E12214"/>
    <w:rsid w:val="00E206B3"/>
    <w:rsid w:val="00E2697D"/>
    <w:rsid w:val="00E36F5F"/>
    <w:rsid w:val="00E41B2A"/>
    <w:rsid w:val="00E43376"/>
    <w:rsid w:val="00E54B63"/>
    <w:rsid w:val="00E61382"/>
    <w:rsid w:val="00E6158F"/>
    <w:rsid w:val="00E8497C"/>
    <w:rsid w:val="00E8589E"/>
    <w:rsid w:val="00EA624F"/>
    <w:rsid w:val="00EB1067"/>
    <w:rsid w:val="00EB5914"/>
    <w:rsid w:val="00EC0AC5"/>
    <w:rsid w:val="00ED7A88"/>
    <w:rsid w:val="00EE705F"/>
    <w:rsid w:val="00EE7BD5"/>
    <w:rsid w:val="00F01594"/>
    <w:rsid w:val="00F0348C"/>
    <w:rsid w:val="00F11858"/>
    <w:rsid w:val="00F56B60"/>
    <w:rsid w:val="00F610E6"/>
    <w:rsid w:val="00F7402F"/>
    <w:rsid w:val="00F820F8"/>
    <w:rsid w:val="00F8760A"/>
    <w:rsid w:val="00F93DAB"/>
    <w:rsid w:val="00F9437B"/>
    <w:rsid w:val="00F945FB"/>
    <w:rsid w:val="00FA3A68"/>
    <w:rsid w:val="00FE55DB"/>
    <w:rsid w:val="00FF2902"/>
    <w:rsid w:val="00FF75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72E44D5"/>
  <w15:chartTrackingRefBased/>
  <w15:docId w15:val="{B971643C-F796-4E2C-909A-2A16465B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D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34D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34DC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34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4DCF"/>
  </w:style>
  <w:style w:type="paragraph" w:styleId="Footer">
    <w:name w:val="footer"/>
    <w:basedOn w:val="Normal"/>
    <w:link w:val="FooterChar"/>
    <w:uiPriority w:val="99"/>
    <w:unhideWhenUsed/>
    <w:rsid w:val="00434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4DCF"/>
  </w:style>
  <w:style w:type="character" w:styleId="Emphasis">
    <w:name w:val="Emphasis"/>
    <w:qFormat/>
    <w:rsid w:val="00434DCF"/>
    <w:rPr>
      <w:i/>
      <w:iCs/>
    </w:rPr>
  </w:style>
  <w:style w:type="character" w:customStyle="1" w:styleId="Headerorfooter">
    <w:name w:val="Header or footer"/>
    <w:uiPriority w:val="99"/>
    <w:rsid w:val="00434DCF"/>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paragraph" w:styleId="BalloonText">
    <w:name w:val="Balloon Text"/>
    <w:basedOn w:val="Normal"/>
    <w:link w:val="BalloonTextChar"/>
    <w:uiPriority w:val="99"/>
    <w:semiHidden/>
    <w:unhideWhenUsed/>
    <w:rsid w:val="007F1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695"/>
    <w:rPr>
      <w:rFonts w:ascii="Segoe UI" w:hAnsi="Segoe UI" w:cs="Segoe UI"/>
      <w:sz w:val="18"/>
      <w:szCs w:val="18"/>
    </w:rPr>
  </w:style>
  <w:style w:type="table" w:styleId="TableGrid">
    <w:name w:val="Table Grid"/>
    <w:basedOn w:val="TableNormal"/>
    <w:uiPriority w:val="39"/>
    <w:rsid w:val="0042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basedOn w:val="DefaultParagraphFont"/>
    <w:link w:val="PlainText"/>
    <w:semiHidden/>
    <w:locked/>
    <w:rsid w:val="00BB560D"/>
    <w:rPr>
      <w:rFonts w:ascii="Courier New" w:hAnsi="Courier New" w:cs="Courier New"/>
      <w:lang w:val="x-none"/>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З"/>
    <w:basedOn w:val="Normal"/>
    <w:link w:val="PlainTextChar"/>
    <w:semiHidden/>
    <w:unhideWhenUsed/>
    <w:rsid w:val="00BB560D"/>
    <w:pPr>
      <w:spacing w:after="0" w:line="240" w:lineRule="auto"/>
    </w:pPr>
    <w:rPr>
      <w:rFonts w:ascii="Courier New" w:hAnsi="Courier New" w:cs="Courier New"/>
      <w:lang w:val="x-none"/>
    </w:rPr>
  </w:style>
  <w:style w:type="character" w:customStyle="1" w:styleId="PlainTextChar1">
    <w:name w:val="Plain Text Char1"/>
    <w:basedOn w:val="DefaultParagraphFont"/>
    <w:uiPriority w:val="99"/>
    <w:semiHidden/>
    <w:rsid w:val="00BB560D"/>
    <w:rPr>
      <w:rFonts w:ascii="Consolas" w:hAnsi="Consolas"/>
      <w:sz w:val="21"/>
      <w:szCs w:val="21"/>
    </w:rPr>
  </w:style>
  <w:style w:type="character" w:customStyle="1" w:styleId="Bodytext9">
    <w:name w:val="Body text (9)_"/>
    <w:link w:val="Bodytext90"/>
    <w:locked/>
    <w:rsid w:val="00BB560D"/>
    <w:rPr>
      <w:rFonts w:ascii="Tahoma" w:hAnsi="Tahoma" w:cs="Tahoma"/>
      <w:sz w:val="18"/>
      <w:szCs w:val="18"/>
      <w:shd w:val="clear" w:color="auto" w:fill="FFFFFF"/>
    </w:rPr>
  </w:style>
  <w:style w:type="paragraph" w:customStyle="1" w:styleId="Bodytext90">
    <w:name w:val="Body text (9)"/>
    <w:basedOn w:val="Normal"/>
    <w:link w:val="Bodytext9"/>
    <w:rsid w:val="00BB560D"/>
    <w:pPr>
      <w:shd w:val="clear" w:color="auto" w:fill="FFFFFF"/>
      <w:spacing w:after="180" w:line="245" w:lineRule="exact"/>
      <w:jc w:val="both"/>
    </w:pPr>
    <w:rPr>
      <w:rFonts w:ascii="Tahoma" w:hAnsi="Tahoma" w:cs="Tahoma"/>
      <w:sz w:val="18"/>
      <w:szCs w:val="18"/>
    </w:rPr>
  </w:style>
  <w:style w:type="paragraph" w:styleId="NoSpacing">
    <w:name w:val="No Spacing"/>
    <w:uiPriority w:val="1"/>
    <w:qFormat/>
    <w:rsid w:val="00DA649C"/>
    <w:pPr>
      <w:spacing w:after="0" w:line="240" w:lineRule="auto"/>
    </w:pPr>
  </w:style>
  <w:style w:type="paragraph" w:styleId="BodyText">
    <w:name w:val="Body Text"/>
    <w:basedOn w:val="Normal"/>
    <w:link w:val="BodyTextChar"/>
    <w:rsid w:val="002414A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414AF"/>
    <w:rPr>
      <w:rFonts w:ascii="Times New Roman" w:eastAsia="Times New Roman" w:hAnsi="Times New Roman" w:cs="Times New Roman"/>
      <w:sz w:val="24"/>
      <w:szCs w:val="20"/>
    </w:rPr>
  </w:style>
  <w:style w:type="character" w:customStyle="1" w:styleId="jlqj4b">
    <w:name w:val="jlqj4b"/>
    <w:basedOn w:val="DefaultParagraphFont"/>
    <w:rsid w:val="002414AF"/>
  </w:style>
  <w:style w:type="paragraph" w:customStyle="1" w:styleId="TableParagraph">
    <w:name w:val="Table Paragraph"/>
    <w:basedOn w:val="Normal"/>
    <w:uiPriority w:val="1"/>
    <w:qFormat/>
    <w:rsid w:val="002061F7"/>
    <w:pPr>
      <w:widowControl w:val="0"/>
      <w:autoSpaceDE w:val="0"/>
      <w:autoSpaceDN w:val="0"/>
      <w:spacing w:after="0" w:line="240" w:lineRule="auto"/>
    </w:pPr>
    <w:rPr>
      <w:rFonts w:ascii="Calibri" w:eastAsia="Calibri" w:hAnsi="Calibri" w:cs="Calibri"/>
      <w:lang w:val="en-US"/>
    </w:rPr>
  </w:style>
  <w:style w:type="paragraph" w:customStyle="1" w:styleId="Default">
    <w:name w:val="Default"/>
    <w:rsid w:val="00D00218"/>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C01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9C6E-A0A9-4F41-9CF1-D410A680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Krastanov</dc:creator>
  <cp:keywords/>
  <dc:description/>
  <cp:lastModifiedBy>Simona Petkova</cp:lastModifiedBy>
  <cp:revision>3</cp:revision>
  <cp:lastPrinted>2024-05-27T11:46:00Z</cp:lastPrinted>
  <dcterms:created xsi:type="dcterms:W3CDTF">2024-05-29T13:10:00Z</dcterms:created>
  <dcterms:modified xsi:type="dcterms:W3CDTF">2024-05-29T13:11:00Z</dcterms:modified>
</cp:coreProperties>
</file>