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CF" w:rsidRDefault="00434DCF" w:rsidP="003E5912">
      <w:pPr>
        <w:tabs>
          <w:tab w:val="center" w:pos="4320"/>
          <w:tab w:val="right" w:pos="8640"/>
        </w:tabs>
        <w:overflowPunct w:val="0"/>
        <w:autoSpaceDE w:val="0"/>
        <w:autoSpaceDN w:val="0"/>
        <w:adjustRightInd w:val="0"/>
        <w:spacing w:after="0" w:line="240" w:lineRule="auto"/>
        <w:textAlignment w:val="baseline"/>
        <w:rPr>
          <w:rFonts w:ascii="Verdana" w:eastAsia="Times New Roman" w:hAnsi="Verdana" w:cs="Times New Roman"/>
          <w:b/>
          <w:color w:val="FF0000"/>
          <w:sz w:val="20"/>
          <w:szCs w:val="20"/>
          <w:lang w:val="en-GB" w:eastAsia="x-none"/>
        </w:rPr>
      </w:pPr>
    </w:p>
    <w:p w:rsidR="00F01594" w:rsidRPr="00434DCF" w:rsidRDefault="00F01594" w:rsidP="00434DCF">
      <w:pPr>
        <w:tabs>
          <w:tab w:val="center" w:pos="4320"/>
          <w:tab w:val="right" w:pos="8640"/>
        </w:tabs>
        <w:overflowPunct w:val="0"/>
        <w:autoSpaceDE w:val="0"/>
        <w:autoSpaceDN w:val="0"/>
        <w:adjustRightInd w:val="0"/>
        <w:spacing w:after="0" w:line="240" w:lineRule="auto"/>
        <w:jc w:val="right"/>
        <w:textAlignment w:val="baseline"/>
        <w:rPr>
          <w:rFonts w:ascii="Verdana" w:eastAsia="Times New Roman" w:hAnsi="Verdana" w:cs="Times New Roman"/>
          <w:b/>
          <w:color w:val="FF0000"/>
          <w:sz w:val="20"/>
          <w:szCs w:val="20"/>
          <w:lang w:val="en-GB" w:eastAsia="x-none"/>
        </w:rPr>
      </w:pPr>
    </w:p>
    <w:p w:rsidR="00434DCF" w:rsidRPr="003A3A66" w:rsidRDefault="00434DCF" w:rsidP="00434DCF">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GB"/>
        </w:rPr>
      </w:pPr>
      <w:r w:rsidRPr="003A3A66">
        <w:rPr>
          <w:rFonts w:ascii="Verdana" w:eastAsia="Times New Roman" w:hAnsi="Verdana" w:cs="Times New Roman"/>
          <w:b/>
          <w:sz w:val="20"/>
          <w:szCs w:val="20"/>
          <w:lang w:val="en-GB"/>
        </w:rPr>
        <w:t xml:space="preserve">ORDER </w:t>
      </w:r>
    </w:p>
    <w:p w:rsidR="00434DCF" w:rsidRPr="006A74A7" w:rsidRDefault="00BB560D" w:rsidP="00434DCF">
      <w:pPr>
        <w:overflowPunct w:val="0"/>
        <w:autoSpaceDE w:val="0"/>
        <w:autoSpaceDN w:val="0"/>
        <w:adjustRightInd w:val="0"/>
        <w:spacing w:before="200" w:after="0" w:line="360" w:lineRule="auto"/>
        <w:jc w:val="center"/>
        <w:textAlignment w:val="baseline"/>
        <w:rPr>
          <w:rFonts w:ascii="Verdana" w:eastAsia="Times New Roman" w:hAnsi="Verdana" w:cs="Times New Roman"/>
          <w:b/>
          <w:sz w:val="20"/>
          <w:szCs w:val="20"/>
        </w:rPr>
      </w:pPr>
      <w:r w:rsidRPr="003A3A66">
        <w:rPr>
          <w:rFonts w:ascii="Verdana" w:eastAsia="Times New Roman" w:hAnsi="Verdana" w:cs="Times New Roman"/>
          <w:b/>
          <w:sz w:val="20"/>
          <w:szCs w:val="20"/>
          <w:lang w:val="en-GB"/>
        </w:rPr>
        <w:t xml:space="preserve">No. A </w:t>
      </w:r>
      <w:r w:rsidR="006A74A7">
        <w:rPr>
          <w:rFonts w:ascii="Verdana" w:eastAsia="Times New Roman" w:hAnsi="Verdana" w:cs="Times New Roman"/>
          <w:b/>
          <w:sz w:val="20"/>
          <w:szCs w:val="20"/>
        </w:rPr>
        <w:t>541</w:t>
      </w:r>
    </w:p>
    <w:p w:rsidR="00BB560D" w:rsidRPr="001A72EF" w:rsidRDefault="00434DCF" w:rsidP="003E5912">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rPr>
      </w:pPr>
      <w:r w:rsidRPr="003A3A66">
        <w:rPr>
          <w:rFonts w:ascii="Verdana" w:eastAsia="Times New Roman" w:hAnsi="Verdana" w:cs="Times New Roman"/>
          <w:b/>
          <w:sz w:val="20"/>
          <w:szCs w:val="20"/>
          <w:lang w:val="en-GB"/>
        </w:rPr>
        <w:t xml:space="preserve">Sofia, </w:t>
      </w:r>
      <w:r w:rsidR="001A72EF">
        <w:rPr>
          <w:rFonts w:ascii="Verdana" w:eastAsia="Times New Roman" w:hAnsi="Verdana" w:cs="Times New Roman"/>
          <w:b/>
          <w:sz w:val="20"/>
          <w:szCs w:val="20"/>
        </w:rPr>
        <w:t>31</w:t>
      </w:r>
      <w:r w:rsidR="00BB560D" w:rsidRPr="003A3A66">
        <w:rPr>
          <w:rFonts w:ascii="Verdana" w:eastAsia="Times New Roman" w:hAnsi="Verdana" w:cs="Times New Roman"/>
          <w:b/>
          <w:sz w:val="20"/>
          <w:szCs w:val="20"/>
          <w:lang w:val="en-GB"/>
        </w:rPr>
        <w:t>.0</w:t>
      </w:r>
      <w:r w:rsidR="001A72EF">
        <w:rPr>
          <w:rFonts w:ascii="Verdana" w:eastAsia="Times New Roman" w:hAnsi="Verdana" w:cs="Times New Roman"/>
          <w:b/>
          <w:sz w:val="20"/>
          <w:szCs w:val="20"/>
        </w:rPr>
        <w:t>8</w:t>
      </w:r>
      <w:r w:rsidR="00BB560D" w:rsidRPr="003A3A66">
        <w:rPr>
          <w:rFonts w:ascii="Verdana" w:eastAsia="Times New Roman" w:hAnsi="Verdana" w:cs="Times New Roman"/>
          <w:b/>
          <w:sz w:val="20"/>
          <w:szCs w:val="20"/>
          <w:lang w:val="en-GB"/>
        </w:rPr>
        <w:t>.202</w:t>
      </w:r>
      <w:r w:rsidR="001A72EF">
        <w:rPr>
          <w:rFonts w:ascii="Verdana" w:eastAsia="Times New Roman" w:hAnsi="Verdana" w:cs="Times New Roman"/>
          <w:b/>
          <w:sz w:val="20"/>
          <w:szCs w:val="20"/>
        </w:rPr>
        <w:t>1</w:t>
      </w:r>
    </w:p>
    <w:p w:rsidR="00052024" w:rsidRPr="003A3A66" w:rsidRDefault="00052024" w:rsidP="00434DCF">
      <w:pPr>
        <w:spacing w:after="0" w:line="240" w:lineRule="auto"/>
        <w:jc w:val="center"/>
        <w:rPr>
          <w:rFonts w:ascii="Verdana" w:hAnsi="Verdana"/>
          <w:b/>
          <w:sz w:val="20"/>
          <w:szCs w:val="20"/>
          <w:lang w:val="en"/>
        </w:rPr>
      </w:pPr>
    </w:p>
    <w:p w:rsidR="00434DCF" w:rsidRPr="003A3A66" w:rsidRDefault="001033AE" w:rsidP="008742D1">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lang w:val="en-US"/>
        </w:rPr>
        <w:t>INSPECTION</w:t>
      </w:r>
      <w:r w:rsidR="00434DCF" w:rsidRPr="003A3A66">
        <w:rPr>
          <w:rFonts w:ascii="Verdana" w:eastAsia="Times New Roman" w:hAnsi="Verdana" w:cs="Arial"/>
          <w:b/>
          <w:bCs/>
          <w:sz w:val="20"/>
          <w:szCs w:val="20"/>
        </w:rPr>
        <w:t xml:space="preserve"> BODY OF TYPE C</w:t>
      </w:r>
    </w:p>
    <w:p w:rsidR="00052024" w:rsidRPr="003A3A66" w:rsidRDefault="00052024" w:rsidP="008742D1">
      <w:pPr>
        <w:spacing w:after="0" w:line="240" w:lineRule="auto"/>
        <w:jc w:val="center"/>
        <w:rPr>
          <w:rFonts w:ascii="Verdana" w:eastAsia="Times New Roman" w:hAnsi="Verdana" w:cs="Arial"/>
          <w:b/>
          <w:bCs/>
          <w:sz w:val="20"/>
          <w:szCs w:val="20"/>
        </w:rPr>
      </w:pPr>
    </w:p>
    <w:p w:rsidR="00434DCF" w:rsidRDefault="00434DCF" w:rsidP="008742D1">
      <w:pPr>
        <w:spacing w:after="0" w:line="240" w:lineRule="auto"/>
        <w:jc w:val="center"/>
        <w:rPr>
          <w:rFonts w:ascii="Verdana" w:eastAsia="Times New Roman" w:hAnsi="Verdana" w:cs="Arial"/>
          <w:b/>
          <w:bCs/>
          <w:sz w:val="20"/>
          <w:szCs w:val="20"/>
          <w:lang w:val="en-US"/>
        </w:rPr>
      </w:pPr>
      <w:r w:rsidRPr="003A3A66">
        <w:rPr>
          <w:rFonts w:ascii="Verdana" w:eastAsia="Times New Roman" w:hAnsi="Verdana" w:cs="Arial"/>
          <w:b/>
          <w:bCs/>
          <w:sz w:val="20"/>
          <w:szCs w:val="20"/>
        </w:rPr>
        <w:t xml:space="preserve">at </w:t>
      </w:r>
      <w:r w:rsidR="00194B7F" w:rsidRPr="003A3A66">
        <w:rPr>
          <w:rFonts w:ascii="Verdana" w:eastAsia="Times New Roman" w:hAnsi="Verdana" w:cs="Arial"/>
          <w:b/>
          <w:bCs/>
          <w:sz w:val="20"/>
          <w:szCs w:val="20"/>
          <w:lang w:val="en-US"/>
        </w:rPr>
        <w:t>“</w:t>
      </w:r>
      <w:r w:rsidR="00D7333B">
        <w:rPr>
          <w:rFonts w:ascii="Verdana" w:eastAsia="Times New Roman" w:hAnsi="Verdana" w:cs="Arial"/>
          <w:b/>
          <w:bCs/>
          <w:sz w:val="20"/>
          <w:szCs w:val="20"/>
          <w:lang w:val="en-US"/>
        </w:rPr>
        <w:t>TERA CONTROL</w:t>
      </w:r>
      <w:r w:rsidR="00194B7F" w:rsidRPr="003A3A66">
        <w:rPr>
          <w:rFonts w:ascii="Verdana" w:eastAsia="Times New Roman" w:hAnsi="Verdana" w:cs="Arial"/>
          <w:b/>
          <w:bCs/>
          <w:sz w:val="20"/>
          <w:szCs w:val="20"/>
          <w:lang w:val="en-US"/>
        </w:rPr>
        <w:t>”</w:t>
      </w:r>
      <w:r w:rsidR="00D7333B">
        <w:rPr>
          <w:rFonts w:ascii="Verdana" w:eastAsia="Times New Roman" w:hAnsi="Verdana" w:cs="Arial"/>
          <w:b/>
          <w:bCs/>
          <w:sz w:val="20"/>
          <w:szCs w:val="20"/>
          <w:lang w:val="en-US"/>
        </w:rPr>
        <w:t xml:space="preserve"> </w:t>
      </w:r>
      <w:r w:rsidR="00565513">
        <w:rPr>
          <w:rFonts w:ascii="Verdana" w:eastAsia="Times New Roman" w:hAnsi="Verdana" w:cs="Arial"/>
          <w:b/>
          <w:bCs/>
          <w:sz w:val="20"/>
          <w:szCs w:val="20"/>
          <w:lang w:val="en-US"/>
        </w:rPr>
        <w:t>Ltd.</w:t>
      </w:r>
      <w:r w:rsidR="00977B6E">
        <w:rPr>
          <w:rFonts w:ascii="Verdana" w:eastAsia="Times New Roman" w:hAnsi="Verdana" w:cs="Arial"/>
          <w:b/>
          <w:bCs/>
          <w:sz w:val="20"/>
          <w:szCs w:val="20"/>
        </w:rPr>
        <w:t xml:space="preserve">, </w:t>
      </w:r>
      <w:r w:rsidR="00D7333B">
        <w:rPr>
          <w:rFonts w:ascii="Verdana" w:eastAsia="Times New Roman" w:hAnsi="Verdana" w:cs="Arial"/>
          <w:b/>
          <w:bCs/>
          <w:sz w:val="20"/>
          <w:szCs w:val="20"/>
          <w:lang w:val="en-US"/>
        </w:rPr>
        <w:t>Sofia</w:t>
      </w:r>
    </w:p>
    <w:p w:rsidR="00E43C79" w:rsidRPr="0006314A" w:rsidRDefault="00E43C79" w:rsidP="008742D1">
      <w:pPr>
        <w:spacing w:after="0" w:line="240" w:lineRule="auto"/>
        <w:jc w:val="center"/>
        <w:rPr>
          <w:rFonts w:ascii="Verdana" w:eastAsia="Times New Roman" w:hAnsi="Verdana" w:cs="Arial"/>
          <w:b/>
          <w:bCs/>
          <w:sz w:val="20"/>
          <w:szCs w:val="20"/>
          <w:lang w:val="en-US"/>
        </w:rPr>
      </w:pPr>
    </w:p>
    <w:p w:rsidR="002061F7" w:rsidRDefault="00565513" w:rsidP="0006314A">
      <w:pPr>
        <w:spacing w:after="200" w:line="240" w:lineRule="auto"/>
        <w:rPr>
          <w:rFonts w:ascii="Verdana" w:eastAsia="Times New Roman" w:hAnsi="Verdana" w:cs="Times New Roman"/>
          <w:sz w:val="20"/>
          <w:szCs w:val="20"/>
          <w:lang w:val="en-US"/>
        </w:rPr>
      </w:pPr>
      <w:r w:rsidRPr="00565513">
        <w:rPr>
          <w:rFonts w:ascii="Verdana" w:eastAsia="Times New Roman" w:hAnsi="Verdana" w:cs="Times New Roman"/>
          <w:b/>
          <w:sz w:val="20"/>
          <w:szCs w:val="20"/>
          <w:lang w:val="en-US"/>
        </w:rPr>
        <w:t>Management</w:t>
      </w:r>
      <w:r w:rsidR="0075106B">
        <w:rPr>
          <w:rFonts w:ascii="Verdana" w:eastAsia="Times New Roman" w:hAnsi="Verdana" w:cs="Times New Roman"/>
          <w:b/>
          <w:sz w:val="20"/>
          <w:szCs w:val="20"/>
          <w:lang w:val="en-US"/>
        </w:rPr>
        <w:t xml:space="preserve"> and office</w:t>
      </w:r>
      <w:r w:rsidRPr="00565513">
        <w:rPr>
          <w:rFonts w:ascii="Verdana" w:eastAsia="Times New Roman" w:hAnsi="Verdana" w:cs="Times New Roman"/>
          <w:b/>
          <w:sz w:val="20"/>
          <w:szCs w:val="20"/>
          <w:lang w:val="en-US"/>
        </w:rPr>
        <w:t xml:space="preserve"> address: </w:t>
      </w:r>
      <w:r w:rsidR="0075106B">
        <w:rPr>
          <w:rFonts w:ascii="Verdana" w:eastAsia="Times New Roman" w:hAnsi="Verdana" w:cs="Times New Roman"/>
          <w:sz w:val="20"/>
          <w:szCs w:val="20"/>
          <w:lang w:val="en-US"/>
        </w:rPr>
        <w:t>r.e. Fondovi Zhilishta, bl.207, Entr. C, Fl. 1, Apt.40, Sredets municipality, 1233</w:t>
      </w:r>
      <w:r w:rsidRPr="00565513">
        <w:rPr>
          <w:rFonts w:ascii="Verdana" w:eastAsia="Times New Roman" w:hAnsi="Verdana" w:cs="Times New Roman"/>
          <w:sz w:val="20"/>
          <w:szCs w:val="20"/>
          <w:lang w:val="en-US"/>
        </w:rPr>
        <w:t>,</w:t>
      </w:r>
      <w:r w:rsidR="0075106B">
        <w:rPr>
          <w:rFonts w:ascii="Verdana" w:eastAsia="Times New Roman" w:hAnsi="Verdana" w:cs="Times New Roman"/>
          <w:sz w:val="20"/>
          <w:szCs w:val="20"/>
          <w:lang w:val="en-US"/>
        </w:rPr>
        <w:t xml:space="preserve"> Sofia </w:t>
      </w:r>
    </w:p>
    <w:p w:rsidR="00E43C79" w:rsidRDefault="00E43C79" w:rsidP="0006314A">
      <w:pPr>
        <w:spacing w:after="200" w:line="240" w:lineRule="auto"/>
        <w:rPr>
          <w:rFonts w:ascii="Verdana" w:eastAsia="Calibri" w:hAnsi="Verdana" w:cs="Arial"/>
          <w:bCs/>
          <w:sz w:val="20"/>
          <w:szCs w:val="20"/>
          <w:lang w:val="en-US" w:eastAsia="bg-BG"/>
        </w:rPr>
      </w:pPr>
    </w:p>
    <w:p w:rsidR="00434DCF" w:rsidRPr="002061F7" w:rsidRDefault="00BE2F41" w:rsidP="002061F7">
      <w:pPr>
        <w:spacing w:after="200" w:line="240" w:lineRule="auto"/>
        <w:rPr>
          <w:rFonts w:ascii="Verdana" w:eastAsia="Calibri" w:hAnsi="Verdana" w:cs="Arial"/>
          <w:bCs/>
          <w:sz w:val="20"/>
          <w:szCs w:val="20"/>
          <w:lang w:val="en-US" w:eastAsia="bg-BG"/>
        </w:rPr>
      </w:pPr>
      <w:r w:rsidRPr="00BE2F41">
        <w:rPr>
          <w:rFonts w:ascii="Verdana" w:eastAsia="Calibri" w:hAnsi="Verdana" w:cs="Arial"/>
          <w:b/>
          <w:bCs/>
          <w:sz w:val="20"/>
          <w:szCs w:val="20"/>
          <w:lang w:val="en-US" w:eastAsia="bg-BG"/>
        </w:rPr>
        <w:t>To p</w:t>
      </w:r>
      <w:r w:rsidR="00434DCF" w:rsidRPr="00BE2F41">
        <w:rPr>
          <w:rFonts w:ascii="Verdana" w:eastAsia="Calibri" w:hAnsi="Verdana" w:cs="Arial"/>
          <w:b/>
          <w:bCs/>
          <w:sz w:val="20"/>
          <w:szCs w:val="20"/>
          <w:lang w:val="en-US" w:eastAsia="bg-BG"/>
        </w:rPr>
        <w:t xml:space="preserve">erform </w:t>
      </w:r>
      <w:r w:rsidR="006174CB">
        <w:rPr>
          <w:rFonts w:ascii="Verdana" w:eastAsia="Calibri" w:hAnsi="Verdana" w:cs="Arial"/>
          <w:b/>
          <w:bCs/>
          <w:sz w:val="20"/>
          <w:szCs w:val="20"/>
          <w:lang w:val="en-US" w:eastAsia="bg-BG"/>
        </w:rPr>
        <w:t xml:space="preserve">inspection </w:t>
      </w:r>
      <w:r w:rsidR="00434DCF" w:rsidRPr="00BE2F41">
        <w:rPr>
          <w:rFonts w:ascii="Verdana" w:eastAsia="Calibri" w:hAnsi="Verdana" w:cs="Arial"/>
          <w:b/>
          <w:bCs/>
          <w:sz w:val="20"/>
          <w:szCs w:val="20"/>
          <w:lang w:val="en-US" w:eastAsia="bg-BG"/>
        </w:rPr>
        <w:t>of:</w:t>
      </w:r>
    </w:p>
    <w:tbl>
      <w:tblPr>
        <w:tblW w:w="10170" w:type="dxa"/>
        <w:tblInd w:w="-539" w:type="dxa"/>
        <w:tblLayout w:type="fixed"/>
        <w:tblCellMar>
          <w:left w:w="0" w:type="dxa"/>
          <w:right w:w="0" w:type="dxa"/>
        </w:tblCellMar>
        <w:tblLook w:val="04A0" w:firstRow="1" w:lastRow="0" w:firstColumn="1" w:lastColumn="0" w:noHBand="0" w:noVBand="1"/>
      </w:tblPr>
      <w:tblGrid>
        <w:gridCol w:w="500"/>
        <w:gridCol w:w="1499"/>
        <w:gridCol w:w="1670"/>
        <w:gridCol w:w="2107"/>
        <w:gridCol w:w="2268"/>
        <w:gridCol w:w="2126"/>
      </w:tblGrid>
      <w:tr w:rsidR="00D50F8A" w:rsidRPr="004A5DE7" w:rsidTr="00A134D1">
        <w:tc>
          <w:tcPr>
            <w:tcW w:w="10170" w:type="dxa"/>
            <w:gridSpan w:val="6"/>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vAlign w:val="bottom"/>
          </w:tcPr>
          <w:p w:rsidR="00D50F8A" w:rsidRPr="004A5DE7" w:rsidRDefault="00D50F8A" w:rsidP="0006314A">
            <w:pPr>
              <w:overflowPunct w:val="0"/>
              <w:autoSpaceDE w:val="0"/>
              <w:autoSpaceDN w:val="0"/>
              <w:adjustRightInd w:val="0"/>
              <w:spacing w:after="0" w:line="240" w:lineRule="auto"/>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GB" w:eastAsia="bg-BG"/>
              </w:rPr>
              <w:t>Scope type:</w:t>
            </w:r>
            <w:r w:rsidRPr="004A5DE7">
              <w:rPr>
                <w:rFonts w:ascii="Verdana" w:eastAsia="Times New Roman" w:hAnsi="Verdana" w:cs="Times New Roman"/>
                <w:color w:val="000000"/>
                <w:sz w:val="18"/>
                <w:szCs w:val="18"/>
                <w:lang w:val="en-GB" w:eastAsia="bg-BG"/>
              </w:rPr>
              <w:t xml:space="preserve"> </w:t>
            </w:r>
            <w:r w:rsidR="00953065">
              <w:rPr>
                <w:rFonts w:ascii="Verdana" w:eastAsia="Times New Roman" w:hAnsi="Verdana" w:cs="Times New Roman"/>
                <w:i/>
                <w:color w:val="000000"/>
                <w:sz w:val="18"/>
                <w:szCs w:val="18"/>
                <w:lang w:val="en-US" w:eastAsia="bg-BG"/>
              </w:rPr>
              <w:t>F</w:t>
            </w:r>
            <w:r w:rsidR="0006314A">
              <w:rPr>
                <w:rFonts w:ascii="Verdana" w:eastAsia="Times New Roman" w:hAnsi="Verdana" w:cs="Times New Roman"/>
                <w:i/>
                <w:color w:val="000000"/>
                <w:sz w:val="18"/>
                <w:szCs w:val="18"/>
                <w:lang w:val="en-US" w:eastAsia="bg-BG"/>
              </w:rPr>
              <w:t>lexible</w:t>
            </w:r>
          </w:p>
        </w:tc>
      </w:tr>
      <w:tr w:rsidR="00D50F8A" w:rsidRPr="004A5DE7" w:rsidTr="00A134D1">
        <w:tc>
          <w:tcPr>
            <w:tcW w:w="500"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vAlign w:val="center"/>
          </w:tcPr>
          <w:p w:rsidR="00D50F8A" w:rsidRPr="004A5DE7" w:rsidRDefault="00D50F8A" w:rsidP="007D3597">
            <w:pPr>
              <w:widowControl w:val="0"/>
              <w:spacing w:after="0" w:line="240" w:lineRule="auto"/>
              <w:jc w:val="center"/>
              <w:rPr>
                <w:rFonts w:ascii="Verdana" w:eastAsia="Times New Roman" w:hAnsi="Verdana" w:cs="Times New Roman"/>
                <w:b/>
                <w:color w:val="000000"/>
                <w:sz w:val="18"/>
                <w:szCs w:val="18"/>
                <w:lang w:eastAsia="bg-BG"/>
              </w:rPr>
            </w:pPr>
            <w:r w:rsidRPr="004A5DE7">
              <w:rPr>
                <w:rFonts w:ascii="Verdana" w:eastAsia="Times New Roman" w:hAnsi="Verdana" w:cs="Times New Roman"/>
                <w:b/>
                <w:color w:val="000000"/>
                <w:sz w:val="18"/>
                <w:szCs w:val="18"/>
                <w:lang w:eastAsia="bg-BG"/>
              </w:rPr>
              <w:t>№</w:t>
            </w:r>
          </w:p>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p>
        </w:tc>
        <w:tc>
          <w:tcPr>
            <w:tcW w:w="1499"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vAlign w:val="center"/>
          </w:tcPr>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US" w:eastAsia="bg-BG"/>
              </w:rPr>
              <w:t>F</w:t>
            </w:r>
            <w:r w:rsidRPr="004A5DE7">
              <w:rPr>
                <w:rFonts w:ascii="Verdana" w:eastAsia="Times New Roman" w:hAnsi="Verdana" w:cs="Times New Roman"/>
                <w:b/>
                <w:color w:val="000000"/>
                <w:sz w:val="18"/>
                <w:szCs w:val="18"/>
                <w:lang w:val="en-GB" w:eastAsia="bg-BG"/>
              </w:rPr>
              <w:t>ield of Inspection</w:t>
            </w:r>
          </w:p>
        </w:tc>
        <w:tc>
          <w:tcPr>
            <w:tcW w:w="1670"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vAlign w:val="center"/>
          </w:tcPr>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GB" w:eastAsia="bg-BG"/>
              </w:rPr>
              <w:t>Type</w:t>
            </w:r>
            <w:r w:rsidRPr="004A5DE7">
              <w:rPr>
                <w:rFonts w:ascii="Verdana" w:eastAsia="Times New Roman" w:hAnsi="Verdana" w:cs="Times New Roman"/>
                <w:sz w:val="18"/>
                <w:szCs w:val="18"/>
                <w:lang w:val="en-US"/>
              </w:rPr>
              <w:t xml:space="preserve"> </w:t>
            </w:r>
            <w:r w:rsidRPr="004A5DE7">
              <w:rPr>
                <w:rFonts w:ascii="Verdana" w:eastAsia="Times New Roman" w:hAnsi="Verdana" w:cs="Times New Roman"/>
                <w:b/>
                <w:color w:val="000000"/>
                <w:sz w:val="18"/>
                <w:szCs w:val="18"/>
                <w:lang w:val="en-GB" w:eastAsia="bg-BG"/>
              </w:rPr>
              <w:t>of Inspection</w:t>
            </w:r>
          </w:p>
        </w:tc>
        <w:tc>
          <w:tcPr>
            <w:tcW w:w="21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D50F8A" w:rsidRPr="004A5DE7" w:rsidRDefault="00D50F8A" w:rsidP="00D50F8A">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GB" w:eastAsia="bg-BG"/>
              </w:rPr>
              <w:t>Parameter of Inspection / Characteristic</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D50F8A" w:rsidRPr="004A5DE7" w:rsidRDefault="00D50F8A" w:rsidP="007D3597">
            <w:pPr>
              <w:overflowPunct w:val="0"/>
              <w:autoSpaceDE w:val="0"/>
              <w:autoSpaceDN w:val="0"/>
              <w:adjustRightInd w:val="0"/>
              <w:spacing w:after="0" w:line="240" w:lineRule="auto"/>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GB" w:eastAsia="bg-BG"/>
              </w:rPr>
              <w:t>Test and Measurement Methods Used During Inspection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D50F8A" w:rsidRPr="004A5DE7" w:rsidRDefault="00D50F8A" w:rsidP="007D3597">
            <w:pPr>
              <w:overflowPunct w:val="0"/>
              <w:autoSpaceDE w:val="0"/>
              <w:autoSpaceDN w:val="0"/>
              <w:adjustRightInd w:val="0"/>
              <w:spacing w:after="0" w:line="240" w:lineRule="auto"/>
              <w:textAlignment w:val="baseline"/>
              <w:rPr>
                <w:rFonts w:ascii="Verdana" w:eastAsia="Times New Roman" w:hAnsi="Verdana" w:cs="Times New Roman"/>
                <w:sz w:val="18"/>
                <w:szCs w:val="18"/>
                <w:lang w:val="en-US"/>
              </w:rPr>
            </w:pPr>
            <w:r w:rsidRPr="004A5DE7">
              <w:rPr>
                <w:rFonts w:ascii="Verdana" w:eastAsia="Times New Roman" w:hAnsi="Verdana" w:cs="Times New Roman"/>
                <w:b/>
                <w:color w:val="000000"/>
                <w:sz w:val="18"/>
                <w:szCs w:val="18"/>
                <w:lang w:val="en-GB" w:eastAsia="bg-BG"/>
              </w:rPr>
              <w:t>Regulations, Standards, Specifications, Schemes</w:t>
            </w:r>
          </w:p>
        </w:tc>
      </w:tr>
      <w:tr w:rsidR="00D50F8A" w:rsidRPr="004A5DE7" w:rsidTr="00A134D1">
        <w:tc>
          <w:tcPr>
            <w:tcW w:w="5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tcPr>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1</w:t>
            </w:r>
          </w:p>
        </w:tc>
        <w:tc>
          <w:tcPr>
            <w:tcW w:w="14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tcPr>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2</w:t>
            </w:r>
          </w:p>
        </w:tc>
        <w:tc>
          <w:tcPr>
            <w:tcW w:w="16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tcPr>
          <w:p w:rsidR="00D50F8A" w:rsidRPr="004A5DE7" w:rsidRDefault="00D50F8A" w:rsidP="007D3597">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3</w:t>
            </w:r>
          </w:p>
        </w:tc>
        <w:tc>
          <w:tcPr>
            <w:tcW w:w="21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D50F8A" w:rsidRPr="004A5DE7" w:rsidRDefault="00D50F8A" w:rsidP="00D50F8A">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4</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tcPr>
          <w:p w:rsidR="00D50F8A" w:rsidRPr="004A5DE7" w:rsidRDefault="00D50F8A" w:rsidP="00D50F8A">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tcPr>
          <w:p w:rsidR="00D50F8A" w:rsidRPr="004A5DE7" w:rsidRDefault="00D50F8A" w:rsidP="00D50F8A">
            <w:pPr>
              <w:overflowPunct w:val="0"/>
              <w:autoSpaceDE w:val="0"/>
              <w:autoSpaceDN w:val="0"/>
              <w:adjustRightInd w:val="0"/>
              <w:spacing w:after="0" w:line="240" w:lineRule="auto"/>
              <w:jc w:val="center"/>
              <w:textAlignment w:val="baseline"/>
              <w:rPr>
                <w:rFonts w:ascii="Verdana" w:eastAsia="Times New Roman" w:hAnsi="Verdana" w:cs="Times New Roman"/>
                <w:sz w:val="18"/>
                <w:szCs w:val="18"/>
                <w:lang w:val="en-US"/>
              </w:rPr>
            </w:pPr>
            <w:r w:rsidRPr="004A5DE7">
              <w:rPr>
                <w:rFonts w:ascii="Verdana" w:eastAsia="Times New Roman" w:hAnsi="Verdana" w:cs="Times New Roman"/>
                <w:color w:val="000000"/>
                <w:sz w:val="18"/>
                <w:szCs w:val="18"/>
                <w:lang w:val="en-GB" w:eastAsia="bg-BG"/>
              </w:rPr>
              <w:t>6</w:t>
            </w:r>
          </w:p>
        </w:tc>
      </w:tr>
      <w:tr w:rsidR="00D50F8A" w:rsidRPr="004A5DE7" w:rsidTr="00A134D1">
        <w:tc>
          <w:tcPr>
            <w:tcW w:w="5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4A5DE7" w:rsidRDefault="009C44AA" w:rsidP="007D3597">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val="en-GB" w:eastAsia="bg-BG"/>
              </w:rPr>
              <w:t xml:space="preserve"> 1.</w:t>
            </w:r>
          </w:p>
        </w:tc>
        <w:tc>
          <w:tcPr>
            <w:tcW w:w="14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807906" w:rsidRDefault="00807906" w:rsidP="007D3597">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hAnsi="Verdana"/>
                <w:color w:val="181818"/>
                <w:sz w:val="18"/>
                <w:szCs w:val="20"/>
                <w:lang w:val="en-GB"/>
              </w:rPr>
              <w:t>Electrical facilities and equipment up to and above 1000 V</w:t>
            </w:r>
          </w:p>
        </w:tc>
        <w:tc>
          <w:tcPr>
            <w:tcW w:w="16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807906" w:rsidRDefault="00807906" w:rsidP="007D3597">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hAnsi="Verdana"/>
                <w:color w:val="181818"/>
                <w:sz w:val="18"/>
                <w:szCs w:val="20"/>
                <w:lang w:val="en-GB"/>
              </w:rPr>
              <w:t>New and operational sites and facilities</w:t>
            </w:r>
          </w:p>
        </w:tc>
        <w:tc>
          <w:tcPr>
            <w:tcW w:w="21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807906" w:rsidRDefault="00807906" w:rsidP="007D3597">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hAnsi="Verdana"/>
                <w:color w:val="2A2A2A"/>
                <w:sz w:val="18"/>
                <w:szCs w:val="20"/>
                <w:lang w:val="en-GB"/>
              </w:rPr>
              <w:t>Resistance of protective earthing systems</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807906" w:rsidRPr="00807906" w:rsidRDefault="00807906" w:rsidP="00807906">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sidRPr="00807906">
              <w:rPr>
                <w:rFonts w:ascii="Verdana" w:eastAsia="Times New Roman" w:hAnsi="Verdana" w:cs="Times New Roman"/>
                <w:color w:val="000000"/>
                <w:sz w:val="18"/>
                <w:szCs w:val="18"/>
                <w:lang w:eastAsia="bg-BG"/>
              </w:rPr>
              <w:t>Ordinance N РД-02-20-1 (SG No. 53/2018);</w:t>
            </w:r>
          </w:p>
          <w:p w:rsidR="00D50F8A" w:rsidRPr="004A5DE7" w:rsidRDefault="00807906" w:rsidP="00807906">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eastAsia="Times New Roman" w:hAnsi="Verdana" w:cs="Times New Roman"/>
                <w:color w:val="000000"/>
                <w:sz w:val="18"/>
                <w:szCs w:val="18"/>
                <w:lang w:eastAsia="bg-BG"/>
              </w:rPr>
              <w:t>PK 7.1-1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807906" w:rsidRPr="00807906" w:rsidRDefault="00807906" w:rsidP="00807906">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eastAsia="Times New Roman" w:hAnsi="Verdana" w:cs="Times New Roman"/>
                <w:color w:val="000000"/>
                <w:sz w:val="18"/>
                <w:szCs w:val="18"/>
                <w:lang w:val="en-GB" w:eastAsia="bg-BG"/>
              </w:rPr>
              <w:t>Ordinance No. 3, (SG iss. 90, 91/2004);</w:t>
            </w:r>
          </w:p>
          <w:p w:rsidR="00807906" w:rsidRPr="00807906" w:rsidRDefault="00807906" w:rsidP="00807906">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eastAsia="Times New Roman" w:hAnsi="Verdana" w:cs="Times New Roman"/>
                <w:color w:val="000000"/>
                <w:sz w:val="18"/>
                <w:szCs w:val="18"/>
                <w:lang w:val="en-GB" w:eastAsia="bg-BG"/>
              </w:rPr>
              <w:t>Ordinance No. 16-116, (SG iss. 26/2008);</w:t>
            </w:r>
          </w:p>
          <w:p w:rsidR="00D50F8A" w:rsidRPr="004A5DE7" w:rsidRDefault="00807906" w:rsidP="00807906">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807906">
              <w:rPr>
                <w:rFonts w:ascii="Verdana" w:eastAsia="Times New Roman" w:hAnsi="Verdana" w:cs="Times New Roman"/>
                <w:color w:val="000000"/>
                <w:sz w:val="18"/>
                <w:szCs w:val="18"/>
                <w:lang w:val="en-GB" w:eastAsia="bg-BG"/>
              </w:rPr>
              <w:t>TS</w:t>
            </w:r>
          </w:p>
        </w:tc>
      </w:tr>
      <w:tr w:rsidR="00D50F8A" w:rsidRPr="004A5DE7" w:rsidTr="00A134D1">
        <w:tc>
          <w:tcPr>
            <w:tcW w:w="5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4219EA" w:rsidRDefault="009C44AA" w:rsidP="007D3597">
            <w:pPr>
              <w:overflowPunct w:val="0"/>
              <w:autoSpaceDE w:val="0"/>
              <w:autoSpaceDN w:val="0"/>
              <w:adjustRightInd w:val="0"/>
              <w:spacing w:after="0" w:line="240" w:lineRule="auto"/>
              <w:textAlignment w:val="baseline"/>
              <w:rPr>
                <w:rFonts w:ascii="Verdana" w:eastAsia="Times New Roman" w:hAnsi="Verdana" w:cs="Times New Roman"/>
                <w:color w:val="FF0000"/>
                <w:sz w:val="18"/>
                <w:szCs w:val="18"/>
                <w:lang w:val="en-GB" w:eastAsia="bg-BG"/>
              </w:rPr>
            </w:pPr>
            <w:r>
              <w:rPr>
                <w:rFonts w:ascii="Verdana" w:eastAsia="Times New Roman" w:hAnsi="Verdana" w:cs="Times New Roman"/>
                <w:sz w:val="18"/>
                <w:szCs w:val="18"/>
                <w:lang w:val="en-GB" w:eastAsia="bg-BG"/>
              </w:rPr>
              <w:t xml:space="preserve"> </w:t>
            </w:r>
            <w:r w:rsidR="00D50F8A" w:rsidRPr="00D00218">
              <w:rPr>
                <w:rFonts w:ascii="Verdana" w:eastAsia="Times New Roman" w:hAnsi="Verdana" w:cs="Times New Roman"/>
                <w:sz w:val="18"/>
                <w:szCs w:val="18"/>
                <w:lang w:val="en-GB" w:eastAsia="bg-BG"/>
              </w:rPr>
              <w:t>2</w:t>
            </w:r>
            <w:r>
              <w:rPr>
                <w:rFonts w:ascii="Verdana" w:eastAsia="Times New Roman" w:hAnsi="Verdana" w:cs="Times New Roman"/>
                <w:sz w:val="18"/>
                <w:szCs w:val="18"/>
                <w:lang w:val="en-GB" w:eastAsia="bg-BG"/>
              </w:rPr>
              <w:t>.</w:t>
            </w:r>
          </w:p>
        </w:tc>
        <w:tc>
          <w:tcPr>
            <w:tcW w:w="14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B64143" w:rsidRDefault="00B64143" w:rsidP="00654671">
            <w:pPr>
              <w:overflowPunct w:val="0"/>
              <w:autoSpaceDE w:val="0"/>
              <w:autoSpaceDN w:val="0"/>
              <w:adjustRightInd w:val="0"/>
              <w:spacing w:after="0" w:line="240" w:lineRule="auto"/>
              <w:textAlignment w:val="baseline"/>
              <w:rPr>
                <w:rFonts w:ascii="Verdana" w:eastAsia="Times New Roman" w:hAnsi="Verdana" w:cs="Times New Roman"/>
                <w:sz w:val="18"/>
                <w:szCs w:val="18"/>
                <w:lang w:eastAsia="bg-BG"/>
              </w:rPr>
            </w:pPr>
            <w:r w:rsidRPr="00B64143">
              <w:rPr>
                <w:rFonts w:ascii="Verdana" w:eastAsia="Times New Roman" w:hAnsi="Verdana" w:cs="Times New Roman"/>
                <w:sz w:val="18"/>
                <w:szCs w:val="18"/>
                <w:lang w:val="en-GB" w:eastAsia="bg-BG"/>
              </w:rPr>
              <w:t>Electrical facilities and equipment up to and above 1000 V</w:t>
            </w:r>
          </w:p>
        </w:tc>
        <w:tc>
          <w:tcPr>
            <w:tcW w:w="16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D00218" w:rsidRDefault="00B64143" w:rsidP="00654671">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New and operational sites and facilities</w:t>
            </w:r>
          </w:p>
        </w:tc>
        <w:tc>
          <w:tcPr>
            <w:tcW w:w="21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D50F8A" w:rsidRPr="00D00218" w:rsidRDefault="00B64143" w:rsidP="007D3597">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Resistance of lightning protection grounding systems</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B64143" w:rsidRPr="00B64143" w:rsidRDefault="00B64143" w:rsidP="00B64143">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Ordinance N РД-02-20-1 (SG No. 53/2018);</w:t>
            </w:r>
          </w:p>
          <w:p w:rsidR="00D50F8A" w:rsidRPr="00D00218" w:rsidRDefault="00B64143" w:rsidP="00B64143">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PK 7.1-2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B64143" w:rsidRPr="00B64143" w:rsidRDefault="00B64143" w:rsidP="00B64143">
            <w:pPr>
              <w:pStyle w:val="Default"/>
              <w:rPr>
                <w:rFonts w:ascii="Verdana" w:hAnsi="Verdana"/>
                <w:sz w:val="18"/>
                <w:szCs w:val="22"/>
              </w:rPr>
            </w:pPr>
            <w:r w:rsidRPr="00B64143">
              <w:rPr>
                <w:rFonts w:ascii="Verdana" w:hAnsi="Verdana"/>
                <w:sz w:val="18"/>
                <w:szCs w:val="22"/>
              </w:rPr>
              <w:t>Ordinance No. 16-116, (SG iss. 26/2008);</w:t>
            </w:r>
          </w:p>
          <w:p w:rsidR="00B64143" w:rsidRPr="00B64143" w:rsidRDefault="00B64143" w:rsidP="00B64143">
            <w:pPr>
              <w:pStyle w:val="Default"/>
              <w:rPr>
                <w:rFonts w:ascii="Verdana" w:hAnsi="Verdana"/>
                <w:sz w:val="18"/>
                <w:szCs w:val="22"/>
              </w:rPr>
            </w:pPr>
            <w:r w:rsidRPr="00B64143">
              <w:rPr>
                <w:rFonts w:ascii="Verdana" w:hAnsi="Verdana"/>
                <w:sz w:val="18"/>
                <w:szCs w:val="22"/>
              </w:rPr>
              <w:t>Ordinance No. 4, (SG iss. 6/2011);</w:t>
            </w:r>
          </w:p>
          <w:p w:rsidR="00D50F8A" w:rsidRPr="00D00218" w:rsidRDefault="00B64143" w:rsidP="00B64143">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hAnsi="Verdana"/>
                <w:sz w:val="18"/>
              </w:rPr>
              <w:t>TS</w:t>
            </w:r>
          </w:p>
        </w:tc>
      </w:tr>
      <w:tr w:rsidR="00F7402F" w:rsidRPr="004A5DE7" w:rsidTr="00A134D1">
        <w:tc>
          <w:tcPr>
            <w:tcW w:w="5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F7402F" w:rsidRPr="00D00218" w:rsidRDefault="009C44AA" w:rsidP="007D3597">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Pr>
                <w:rFonts w:ascii="Verdana" w:eastAsia="Times New Roman" w:hAnsi="Verdana" w:cs="Times New Roman"/>
                <w:sz w:val="18"/>
                <w:szCs w:val="18"/>
                <w:lang w:val="en-GB" w:eastAsia="bg-BG"/>
              </w:rPr>
              <w:t xml:space="preserve"> </w:t>
            </w:r>
            <w:r w:rsidR="00F7402F">
              <w:rPr>
                <w:rFonts w:ascii="Verdana" w:eastAsia="Times New Roman" w:hAnsi="Verdana" w:cs="Times New Roman"/>
                <w:sz w:val="18"/>
                <w:szCs w:val="18"/>
                <w:lang w:val="en-GB" w:eastAsia="bg-BG"/>
              </w:rPr>
              <w:t>3</w:t>
            </w:r>
            <w:r>
              <w:rPr>
                <w:rFonts w:ascii="Verdana" w:eastAsia="Times New Roman" w:hAnsi="Verdana" w:cs="Times New Roman"/>
                <w:sz w:val="18"/>
                <w:szCs w:val="18"/>
                <w:lang w:val="en-GB" w:eastAsia="bg-BG"/>
              </w:rPr>
              <w:t>.</w:t>
            </w:r>
          </w:p>
        </w:tc>
        <w:tc>
          <w:tcPr>
            <w:tcW w:w="14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F7402F" w:rsidRDefault="00B64143" w:rsidP="00654671">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Electrical facilities and equipment up to 1000 V</w:t>
            </w:r>
          </w:p>
        </w:tc>
        <w:tc>
          <w:tcPr>
            <w:tcW w:w="16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F7402F" w:rsidRDefault="00B64143" w:rsidP="00654671">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New and operational sites and facilities</w:t>
            </w:r>
          </w:p>
        </w:tc>
        <w:tc>
          <w:tcPr>
            <w:tcW w:w="21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F7402F" w:rsidRPr="00D00218" w:rsidRDefault="00B64143" w:rsidP="007D3597">
            <w:pPr>
              <w:overflowPunct w:val="0"/>
              <w:autoSpaceDE w:val="0"/>
              <w:autoSpaceDN w:val="0"/>
              <w:adjustRightInd w:val="0"/>
              <w:spacing w:after="0" w:line="240" w:lineRule="auto"/>
              <w:textAlignment w:val="baseline"/>
              <w:rPr>
                <w:rFonts w:ascii="Verdana" w:eastAsia="Times New Roman" w:hAnsi="Verdana" w:cs="Times New Roman"/>
                <w:sz w:val="18"/>
                <w:szCs w:val="18"/>
                <w:lang w:val="en-GB" w:eastAsia="bg-BG"/>
              </w:rPr>
            </w:pPr>
            <w:r w:rsidRPr="00B64143">
              <w:rPr>
                <w:rFonts w:ascii="Verdana" w:eastAsia="Times New Roman" w:hAnsi="Verdana" w:cs="Times New Roman"/>
                <w:sz w:val="18"/>
                <w:szCs w:val="18"/>
                <w:lang w:val="en-GB" w:eastAsia="bg-BG"/>
              </w:rPr>
              <w:t xml:space="preserve">Insulation resistance </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B64143" w:rsidRPr="00B64143" w:rsidRDefault="00B64143" w:rsidP="00B64143">
            <w:pPr>
              <w:overflowPunct w:val="0"/>
              <w:autoSpaceDE w:val="0"/>
              <w:autoSpaceDN w:val="0"/>
              <w:adjustRightInd w:val="0"/>
              <w:spacing w:after="0" w:line="240" w:lineRule="auto"/>
              <w:textAlignment w:val="baseline"/>
              <w:rPr>
                <w:rFonts w:ascii="Verdana" w:eastAsia="Times New Roman" w:hAnsi="Verdana" w:cs="Times New Roman"/>
                <w:sz w:val="18"/>
                <w:szCs w:val="18"/>
                <w:lang w:eastAsia="bg-BG"/>
              </w:rPr>
            </w:pPr>
            <w:r w:rsidRPr="00B64143">
              <w:rPr>
                <w:rFonts w:ascii="Verdana" w:eastAsia="Times New Roman" w:hAnsi="Verdana" w:cs="Times New Roman"/>
                <w:sz w:val="18"/>
                <w:szCs w:val="18"/>
                <w:lang w:eastAsia="bg-BG"/>
              </w:rPr>
              <w:t>Ordinance N РД-02-20-1 (SG No. 53/2018);</w:t>
            </w:r>
          </w:p>
          <w:p w:rsidR="00141A84" w:rsidRPr="00141A84" w:rsidRDefault="00B64143" w:rsidP="00B64143">
            <w:pPr>
              <w:overflowPunct w:val="0"/>
              <w:autoSpaceDE w:val="0"/>
              <w:autoSpaceDN w:val="0"/>
              <w:adjustRightInd w:val="0"/>
              <w:spacing w:after="0" w:line="240" w:lineRule="auto"/>
              <w:textAlignment w:val="baseline"/>
              <w:rPr>
                <w:rFonts w:ascii="Verdana" w:eastAsia="Times New Roman" w:hAnsi="Verdana" w:cs="Times New Roman"/>
                <w:sz w:val="18"/>
                <w:szCs w:val="18"/>
                <w:lang w:val="en-US" w:eastAsia="bg-BG"/>
              </w:rPr>
            </w:pPr>
            <w:r w:rsidRPr="00B64143">
              <w:rPr>
                <w:rFonts w:ascii="Verdana" w:eastAsia="Times New Roman" w:hAnsi="Verdana" w:cs="Times New Roman"/>
                <w:sz w:val="18"/>
                <w:szCs w:val="18"/>
                <w:lang w:eastAsia="bg-BG"/>
              </w:rPr>
              <w:t>PK 7.1-3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B64143" w:rsidRPr="00B64143" w:rsidRDefault="00B64143" w:rsidP="00B64143">
            <w:pPr>
              <w:pStyle w:val="Default"/>
              <w:rPr>
                <w:rFonts w:ascii="Verdana" w:hAnsi="Verdana"/>
                <w:sz w:val="18"/>
                <w:szCs w:val="22"/>
              </w:rPr>
            </w:pPr>
            <w:r w:rsidRPr="00B64143">
              <w:rPr>
                <w:rFonts w:ascii="Verdana" w:hAnsi="Verdana"/>
                <w:sz w:val="18"/>
                <w:szCs w:val="22"/>
              </w:rPr>
              <w:t>Ordinance No. 3, (SG iss. 90, 91/2004);</w:t>
            </w:r>
          </w:p>
          <w:p w:rsidR="00B64143" w:rsidRPr="00B64143" w:rsidRDefault="00B64143" w:rsidP="00B64143">
            <w:pPr>
              <w:pStyle w:val="Default"/>
              <w:rPr>
                <w:rFonts w:ascii="Verdana" w:hAnsi="Verdana"/>
                <w:sz w:val="18"/>
                <w:szCs w:val="22"/>
              </w:rPr>
            </w:pPr>
            <w:r w:rsidRPr="00B64143">
              <w:rPr>
                <w:rFonts w:ascii="Verdana" w:hAnsi="Verdana"/>
                <w:sz w:val="18"/>
                <w:szCs w:val="22"/>
              </w:rPr>
              <w:t>Ordinance No. 16-116, (SG iss. 26/2008);</w:t>
            </w:r>
          </w:p>
          <w:p w:rsidR="00B64143" w:rsidRPr="00B64143" w:rsidRDefault="00B64143" w:rsidP="00B64143">
            <w:pPr>
              <w:pStyle w:val="Default"/>
              <w:rPr>
                <w:rFonts w:ascii="Verdana" w:hAnsi="Verdana"/>
                <w:sz w:val="18"/>
                <w:szCs w:val="22"/>
              </w:rPr>
            </w:pPr>
            <w:r w:rsidRPr="00B64143">
              <w:rPr>
                <w:rFonts w:ascii="Verdana" w:hAnsi="Verdana"/>
                <w:sz w:val="18"/>
                <w:szCs w:val="22"/>
              </w:rPr>
              <w:t>Ordinance No. 1, (SG iss. 46/2010);</w:t>
            </w:r>
          </w:p>
          <w:p w:rsidR="00141A84" w:rsidRPr="00D00218" w:rsidRDefault="00B64143" w:rsidP="00B64143">
            <w:pPr>
              <w:pStyle w:val="Default"/>
              <w:rPr>
                <w:rFonts w:ascii="Verdana" w:hAnsi="Verdana"/>
                <w:sz w:val="18"/>
                <w:szCs w:val="22"/>
              </w:rPr>
            </w:pPr>
            <w:r w:rsidRPr="00B64143">
              <w:rPr>
                <w:rFonts w:ascii="Verdana" w:hAnsi="Verdana"/>
                <w:sz w:val="18"/>
                <w:szCs w:val="22"/>
              </w:rPr>
              <w:t>TS</w:t>
            </w:r>
          </w:p>
        </w:tc>
      </w:tr>
      <w:tr w:rsidR="00690A13" w:rsidRPr="004A5DE7" w:rsidTr="00A627CB">
        <w:tc>
          <w:tcPr>
            <w:tcW w:w="500"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rsidR="00690A13" w:rsidRPr="004A5DE7"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val="en-GB" w:eastAsia="bg-BG"/>
              </w:rPr>
              <w:t xml:space="preserve"> </w:t>
            </w:r>
            <w:r w:rsidR="00690A13">
              <w:rPr>
                <w:rFonts w:ascii="Verdana" w:eastAsia="Times New Roman" w:hAnsi="Verdana" w:cs="Times New Roman"/>
                <w:color w:val="000000"/>
                <w:sz w:val="18"/>
                <w:szCs w:val="18"/>
                <w:lang w:val="en-GB" w:eastAsia="bg-BG"/>
              </w:rPr>
              <w:t>4</w:t>
            </w:r>
            <w:r>
              <w:rPr>
                <w:rFonts w:ascii="Verdana" w:eastAsia="Times New Roman" w:hAnsi="Verdana" w:cs="Times New Roman"/>
                <w:color w:val="000000"/>
                <w:sz w:val="18"/>
                <w:szCs w:val="18"/>
                <w:lang w:val="en-GB" w:eastAsia="bg-BG"/>
              </w:rPr>
              <w:t>.</w:t>
            </w:r>
          </w:p>
        </w:tc>
        <w:tc>
          <w:tcPr>
            <w:tcW w:w="1499"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rsidR="00690A13" w:rsidRPr="004A5DE7" w:rsidRDefault="00CA6B15"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CA6B15">
              <w:rPr>
                <w:rFonts w:ascii="Verdana" w:eastAsia="Times New Roman" w:hAnsi="Verdana" w:cs="Times New Roman"/>
                <w:color w:val="000000"/>
                <w:sz w:val="18"/>
                <w:szCs w:val="18"/>
                <w:lang w:val="en-GB" w:eastAsia="bg-BG"/>
              </w:rPr>
              <w:t>Electrical facilities and equipment up to 1000 V</w:t>
            </w:r>
          </w:p>
        </w:tc>
        <w:tc>
          <w:tcPr>
            <w:tcW w:w="1670"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rsidR="00690A13" w:rsidRDefault="00CA6B15"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CA6B15">
              <w:rPr>
                <w:rFonts w:ascii="Verdana" w:eastAsia="Times New Roman" w:hAnsi="Verdana" w:cs="Times New Roman"/>
                <w:color w:val="000000"/>
                <w:sz w:val="18"/>
                <w:szCs w:val="18"/>
                <w:lang w:val="en-GB" w:eastAsia="bg-BG"/>
              </w:rPr>
              <w:t xml:space="preserve">New and operational sites and facilities </w:t>
            </w:r>
          </w:p>
          <w:p w:rsidR="00690A13" w:rsidRPr="004A5DE7"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07"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rsidR="00690A13" w:rsidRPr="004A5DE7" w:rsidRDefault="00CA6B15"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CA6B15">
              <w:rPr>
                <w:rFonts w:ascii="Verdana" w:eastAsia="Times New Roman" w:hAnsi="Verdana" w:cs="Times New Roman"/>
                <w:color w:val="000000"/>
                <w:sz w:val="18"/>
                <w:szCs w:val="18"/>
                <w:lang w:val="en-GB" w:eastAsia="bg-BG"/>
              </w:rPr>
              <w:t>Impedance of the "phase - protective conductor" loop</w:t>
            </w:r>
          </w:p>
        </w:tc>
        <w:tc>
          <w:tcPr>
            <w:tcW w:w="2268" w:type="dxa"/>
            <w:tcBorders>
              <w:top w:val="single" w:sz="6" w:space="0" w:color="000000"/>
              <w:left w:val="single" w:sz="6" w:space="0" w:color="000000"/>
              <w:bottom w:val="single" w:sz="4" w:space="0" w:color="auto"/>
            </w:tcBorders>
            <w:shd w:val="clear" w:color="auto" w:fill="FFFFFF"/>
            <w:tcMar>
              <w:top w:w="0" w:type="dxa"/>
              <w:left w:w="10" w:type="dxa"/>
              <w:bottom w:w="0" w:type="dxa"/>
              <w:right w:w="10" w:type="dxa"/>
            </w:tcMar>
          </w:tcPr>
          <w:p w:rsidR="00A627CB" w:rsidRPr="00A627CB"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Ordinance N РД-02-20-1 (SG No. 53/2018);</w:t>
            </w:r>
          </w:p>
          <w:p w:rsidR="00690A13" w:rsidRPr="004A5DE7"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PK 7.1-4</w:t>
            </w:r>
          </w:p>
        </w:tc>
        <w:tc>
          <w:tcPr>
            <w:tcW w:w="2126" w:type="dxa"/>
            <w:tcBorders>
              <w:top w:val="single" w:sz="6" w:space="0" w:color="000000"/>
              <w:left w:val="single" w:sz="6" w:space="0" w:color="000000"/>
              <w:bottom w:val="single" w:sz="4" w:space="0" w:color="auto"/>
              <w:right w:val="single" w:sz="6" w:space="0" w:color="000000"/>
            </w:tcBorders>
            <w:shd w:val="clear" w:color="auto" w:fill="FFFFFF"/>
            <w:tcMar>
              <w:top w:w="0" w:type="dxa"/>
              <w:left w:w="10" w:type="dxa"/>
              <w:bottom w:w="0" w:type="dxa"/>
              <w:right w:w="10" w:type="dxa"/>
            </w:tcMar>
          </w:tcPr>
          <w:p w:rsidR="00A627CB" w:rsidRPr="00A627CB"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Ordinance No. 3, (SG iss. 90, 91/2004);</w:t>
            </w:r>
          </w:p>
          <w:p w:rsidR="00A627CB" w:rsidRPr="00A627CB"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Ordinance No. 16-116, (SG iss. 26/2008);</w:t>
            </w:r>
          </w:p>
          <w:p w:rsidR="00A627CB" w:rsidRPr="00A627CB"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Ordinance No. 1, (SG iss. 46/2010);</w:t>
            </w:r>
          </w:p>
          <w:p w:rsidR="00690A13" w:rsidRPr="004A5DE7" w:rsidRDefault="00A627CB" w:rsidP="00A627C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TS</w:t>
            </w:r>
          </w:p>
        </w:tc>
      </w:tr>
      <w:tr w:rsidR="00690A13" w:rsidRPr="004A5DE7" w:rsidTr="009C44AA">
        <w:trPr>
          <w:trHeight w:val="557"/>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90A13" w:rsidRPr="004A5DE7"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val="en-GB" w:eastAsia="bg-BG"/>
              </w:rPr>
              <w:t xml:space="preserve"> </w:t>
            </w:r>
            <w:r w:rsidR="00690A13">
              <w:rPr>
                <w:rFonts w:ascii="Verdana" w:eastAsia="Times New Roman" w:hAnsi="Verdana" w:cs="Times New Roman"/>
                <w:color w:val="000000"/>
                <w:sz w:val="18"/>
                <w:szCs w:val="18"/>
                <w:lang w:val="en-GB" w:eastAsia="bg-BG"/>
              </w:rPr>
              <w:t>5</w:t>
            </w:r>
            <w:r>
              <w:rPr>
                <w:rFonts w:ascii="Verdana" w:eastAsia="Times New Roman" w:hAnsi="Verdana" w:cs="Times New Roman"/>
                <w:color w:val="000000"/>
                <w:sz w:val="18"/>
                <w:szCs w:val="18"/>
                <w:lang w:val="en-GB" w:eastAsia="bg-BG"/>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90A13" w:rsidRPr="004A5DE7" w:rsidRDefault="00A627CB"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Electrical facilities and equipment up to 1000 V; Protective circuit breakers for zero-sequence currents</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90A13" w:rsidRPr="004A5DE7" w:rsidRDefault="00A627CB"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627CB">
              <w:rPr>
                <w:rFonts w:ascii="Verdana" w:eastAsia="Times New Roman" w:hAnsi="Verdana" w:cs="Times New Roman"/>
                <w:color w:val="000000"/>
                <w:sz w:val="18"/>
                <w:szCs w:val="18"/>
                <w:lang w:val="en-GB" w:eastAsia="bg-BG"/>
              </w:rPr>
              <w:t>New and operational sites and facilities</w:t>
            </w:r>
          </w:p>
        </w:tc>
        <w:tc>
          <w:tcPr>
            <w:tcW w:w="210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90A13" w:rsidRPr="004A5DE7" w:rsidRDefault="007309B0"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Touch voltage. Trigger current trip time. Resistance of protective earth</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309B0" w:rsidRPr="007309B0"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Ordinance N РД-02- 20-1, (SG iss. 53/2018);</w:t>
            </w:r>
          </w:p>
          <w:p w:rsidR="00690A13" w:rsidRPr="004A5DE7"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PK 7.1-5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309B0" w:rsidRPr="007309B0"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Ordinance No. 3, (SG iss. 90, 91/2004);</w:t>
            </w:r>
          </w:p>
          <w:p w:rsidR="007309B0" w:rsidRPr="007309B0"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Ordinance No. 16-116, (SG iss. 26/2008);</w:t>
            </w:r>
          </w:p>
          <w:p w:rsidR="007309B0" w:rsidRPr="007309B0"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Ordinance No. 1, (SG iss. 46/2010);</w:t>
            </w:r>
          </w:p>
          <w:p w:rsidR="00690A13" w:rsidRPr="004A5DE7" w:rsidRDefault="007309B0" w:rsidP="007309B0">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7309B0">
              <w:rPr>
                <w:rFonts w:ascii="Verdana" w:eastAsia="Times New Roman" w:hAnsi="Verdana" w:cs="Times New Roman"/>
                <w:color w:val="000000"/>
                <w:sz w:val="18"/>
                <w:szCs w:val="18"/>
                <w:lang w:val="en-GB" w:eastAsia="bg-BG"/>
              </w:rPr>
              <w:t>TS</w:t>
            </w:r>
          </w:p>
        </w:tc>
      </w:tr>
      <w:tr w:rsidR="00690A13" w:rsidRPr="004A5DE7" w:rsidTr="00A627CB">
        <w:trPr>
          <w:trHeight w:val="2776"/>
        </w:trPr>
        <w:tc>
          <w:tcPr>
            <w:tcW w:w="500" w:type="dxa"/>
            <w:vMerge w:val="restart"/>
            <w:tcBorders>
              <w:top w:val="single" w:sz="4" w:space="0" w:color="auto"/>
              <w:left w:val="single" w:sz="6" w:space="0" w:color="000000"/>
            </w:tcBorders>
            <w:shd w:val="clear" w:color="auto" w:fill="FFFFFF"/>
            <w:tcMar>
              <w:top w:w="0" w:type="dxa"/>
              <w:left w:w="10" w:type="dxa"/>
              <w:bottom w:w="0" w:type="dxa"/>
              <w:right w:w="10" w:type="dxa"/>
            </w:tcMar>
          </w:tcPr>
          <w:p w:rsidR="00690A13" w:rsidRPr="009C44AA"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r>
              <w:rPr>
                <w:rFonts w:ascii="Verdana" w:eastAsia="Times New Roman" w:hAnsi="Verdana" w:cs="Times New Roman"/>
                <w:color w:val="000000"/>
                <w:sz w:val="18"/>
                <w:szCs w:val="18"/>
                <w:lang w:val="en-US" w:eastAsia="bg-BG"/>
              </w:rPr>
              <w:lastRenderedPageBreak/>
              <w:t xml:space="preserve"> </w:t>
            </w:r>
            <w:r w:rsidR="00690A13">
              <w:rPr>
                <w:rFonts w:ascii="Verdana" w:eastAsia="Times New Roman" w:hAnsi="Verdana" w:cs="Times New Roman"/>
                <w:color w:val="000000"/>
                <w:sz w:val="18"/>
                <w:szCs w:val="18"/>
                <w:lang w:eastAsia="bg-BG"/>
              </w:rPr>
              <w:t>6</w:t>
            </w:r>
            <w:r>
              <w:rPr>
                <w:rFonts w:ascii="Verdana" w:eastAsia="Times New Roman" w:hAnsi="Verdana" w:cs="Times New Roman"/>
                <w:color w:val="000000"/>
                <w:sz w:val="18"/>
                <w:szCs w:val="18"/>
                <w:lang w:val="en-US" w:eastAsia="bg-BG"/>
              </w:rPr>
              <w:t>.</w:t>
            </w:r>
          </w:p>
        </w:tc>
        <w:tc>
          <w:tcPr>
            <w:tcW w:w="1499" w:type="dxa"/>
            <w:vMerge w:val="restart"/>
            <w:tcBorders>
              <w:top w:val="single" w:sz="4" w:space="0" w:color="auto"/>
              <w:left w:val="single" w:sz="6" w:space="0" w:color="000000"/>
            </w:tcBorders>
            <w:shd w:val="clear" w:color="auto" w:fill="FFFFFF"/>
            <w:tcMar>
              <w:top w:w="0" w:type="dxa"/>
              <w:left w:w="10" w:type="dxa"/>
              <w:bottom w:w="0" w:type="dxa"/>
              <w:right w:w="10" w:type="dxa"/>
            </w:tcMar>
          </w:tcPr>
          <w:p w:rsidR="00690A13" w:rsidRPr="008231DA" w:rsidRDefault="003F443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Microclimate in the working environment and in the premises of residential and public buildings</w:t>
            </w:r>
          </w:p>
        </w:tc>
        <w:tc>
          <w:tcPr>
            <w:tcW w:w="1670" w:type="dxa"/>
            <w:vMerge w:val="restart"/>
            <w:tcBorders>
              <w:top w:val="single" w:sz="4" w:space="0" w:color="auto"/>
              <w:left w:val="single" w:sz="6" w:space="0" w:color="000000"/>
            </w:tcBorders>
            <w:shd w:val="clear" w:color="auto" w:fill="FFFFFF"/>
            <w:tcMar>
              <w:top w:w="0" w:type="dxa"/>
              <w:left w:w="10" w:type="dxa"/>
              <w:bottom w:w="0" w:type="dxa"/>
              <w:right w:w="10" w:type="dxa"/>
            </w:tcMar>
          </w:tcPr>
          <w:p w:rsidR="00690A13" w:rsidRPr="00251E0D" w:rsidRDefault="003F443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New and operational sites and facilities</w:t>
            </w:r>
          </w:p>
        </w:tc>
        <w:tc>
          <w:tcPr>
            <w:tcW w:w="2107" w:type="dxa"/>
            <w:vMerge w:val="restart"/>
            <w:tcBorders>
              <w:top w:val="single" w:sz="4" w:space="0" w:color="auto"/>
              <w:left w:val="single" w:sz="6" w:space="0" w:color="000000"/>
            </w:tcBorders>
            <w:shd w:val="clear" w:color="auto" w:fill="FFFFFF"/>
            <w:tcMar>
              <w:top w:w="0" w:type="dxa"/>
              <w:left w:w="10" w:type="dxa"/>
              <w:bottom w:w="0" w:type="dxa"/>
              <w:right w:w="10" w:type="dxa"/>
            </w:tcMar>
          </w:tcPr>
          <w:p w:rsidR="00690A13" w:rsidRPr="00251E0D" w:rsidRDefault="003F443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Air temperature. Relative air humidity. Air speed.</w:t>
            </w:r>
          </w:p>
        </w:tc>
        <w:tc>
          <w:tcPr>
            <w:tcW w:w="2268" w:type="dxa"/>
            <w:vMerge w:val="restart"/>
            <w:tcBorders>
              <w:top w:val="single" w:sz="4" w:space="0" w:color="auto"/>
              <w:left w:val="single" w:sz="6" w:space="0" w:color="000000"/>
            </w:tcBorders>
            <w:shd w:val="clear" w:color="auto" w:fill="FFFFFF"/>
            <w:tcMar>
              <w:top w:w="0" w:type="dxa"/>
              <w:left w:w="10" w:type="dxa"/>
              <w:bottom w:w="0" w:type="dxa"/>
              <w:right w:w="10" w:type="dxa"/>
            </w:tcMar>
          </w:tcPr>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 xml:space="preserve">Ordinance No. РД-07-3, (SG iss. 63/2014) </w:t>
            </w:r>
            <w:r w:rsidR="0011353C">
              <w:rPr>
                <w:rFonts w:ascii="Verdana" w:eastAsia="Times New Roman" w:hAnsi="Verdana" w:cs="Times New Roman"/>
                <w:color w:val="000000"/>
                <w:sz w:val="18"/>
                <w:szCs w:val="18"/>
                <w:lang w:eastAsia="bg-BG"/>
              </w:rPr>
              <w:t>БДС</w:t>
            </w:r>
            <w:r w:rsidRPr="003F4433">
              <w:rPr>
                <w:rFonts w:ascii="Verdana" w:eastAsia="Times New Roman" w:hAnsi="Verdana" w:cs="Times New Roman"/>
                <w:color w:val="000000"/>
                <w:sz w:val="18"/>
                <w:szCs w:val="18"/>
                <w:lang w:val="en-GB" w:eastAsia="bg-BG"/>
              </w:rPr>
              <w:t xml:space="preserve"> 16686</w:t>
            </w:r>
          </w:p>
          <w:p w:rsidR="00690A13" w:rsidRPr="00007101"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PK 7.1-6</w:t>
            </w:r>
          </w:p>
        </w:tc>
        <w:tc>
          <w:tcPr>
            <w:tcW w:w="2126" w:type="dxa"/>
            <w:tcBorders>
              <w:top w:val="single" w:sz="4" w:space="0" w:color="auto"/>
              <w:left w:val="single" w:sz="6" w:space="0" w:color="000000"/>
              <w:right w:val="single" w:sz="6" w:space="0" w:color="000000"/>
            </w:tcBorders>
            <w:shd w:val="clear" w:color="auto" w:fill="FFFFFF"/>
            <w:tcMar>
              <w:top w:w="0" w:type="dxa"/>
              <w:left w:w="10" w:type="dxa"/>
              <w:bottom w:w="0" w:type="dxa"/>
              <w:right w:w="10" w:type="dxa"/>
            </w:tcMar>
          </w:tcPr>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 xml:space="preserve">Ordinance No. РД-07-3, (SG iss. 63/2014); </w:t>
            </w:r>
            <w:r w:rsidR="0011353C">
              <w:rPr>
                <w:rFonts w:ascii="Verdana" w:eastAsia="Times New Roman" w:hAnsi="Verdana" w:cs="Times New Roman"/>
                <w:color w:val="000000"/>
                <w:sz w:val="18"/>
                <w:szCs w:val="18"/>
                <w:lang w:eastAsia="bg-BG"/>
              </w:rPr>
              <w:t>БДС</w:t>
            </w:r>
            <w:r w:rsidRPr="003F4433">
              <w:rPr>
                <w:rFonts w:ascii="Verdana" w:eastAsia="Times New Roman" w:hAnsi="Verdana" w:cs="Times New Roman"/>
                <w:color w:val="000000"/>
                <w:sz w:val="18"/>
                <w:szCs w:val="18"/>
                <w:lang w:val="en-GB" w:eastAsia="bg-BG"/>
              </w:rPr>
              <w:t xml:space="preserve"> 14776;</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Ordinance No. 9, (SG iss. 46/1994);</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Ordinance No. 24, (SG iss. 95/2003);</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Ordinance No. 2, (SG iss. 15/2007);</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Ordinance No. 3, (SG iss. 15/2007);</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Ordinance No. 26, (SG iss.</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103/2008);</w:t>
            </w:r>
          </w:p>
          <w:p w:rsidR="003F4433" w:rsidRPr="003F4433" w:rsidRDefault="003F4433" w:rsidP="003F443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Instruction No. 34, (SG iss. 82/1975);</w:t>
            </w:r>
          </w:p>
          <w:p w:rsidR="00690A13" w:rsidRPr="00007101" w:rsidRDefault="003F443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3F4433">
              <w:rPr>
                <w:rFonts w:ascii="Verdana" w:eastAsia="Times New Roman" w:hAnsi="Verdana" w:cs="Times New Roman"/>
                <w:color w:val="000000"/>
                <w:sz w:val="18"/>
                <w:szCs w:val="18"/>
                <w:lang w:val="en-GB" w:eastAsia="bg-BG"/>
              </w:rPr>
              <w:t>TS</w:t>
            </w:r>
          </w:p>
        </w:tc>
      </w:tr>
      <w:tr w:rsidR="00690A13" w:rsidRPr="004A5DE7" w:rsidTr="00A134D1">
        <w:trPr>
          <w:trHeight w:val="53"/>
        </w:trPr>
        <w:tc>
          <w:tcPr>
            <w:tcW w:w="500" w:type="dxa"/>
            <w:vMerge/>
            <w:tcBorders>
              <w:left w:val="single" w:sz="6" w:space="0" w:color="000000"/>
            </w:tcBorders>
            <w:shd w:val="clear" w:color="auto" w:fill="FFFFFF"/>
            <w:tcMar>
              <w:top w:w="0" w:type="dxa"/>
              <w:left w:w="10" w:type="dxa"/>
              <w:bottom w:w="0" w:type="dxa"/>
              <w:right w:w="10" w:type="dxa"/>
            </w:tcMar>
          </w:tcPr>
          <w:p w:rsidR="00690A13" w:rsidRPr="004A5DE7"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1499" w:type="dxa"/>
            <w:vMerge/>
            <w:tcBorders>
              <w:left w:val="single" w:sz="6" w:space="0" w:color="000000"/>
            </w:tcBorders>
            <w:shd w:val="clear" w:color="auto" w:fill="FFFFFF"/>
            <w:tcMar>
              <w:top w:w="0" w:type="dxa"/>
              <w:left w:w="10" w:type="dxa"/>
              <w:bottom w:w="0" w:type="dxa"/>
              <w:right w:w="10" w:type="dxa"/>
            </w:tcMar>
          </w:tcPr>
          <w:p w:rsidR="00690A13" w:rsidRPr="008231DA"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1670" w:type="dxa"/>
            <w:vMerge/>
            <w:tcBorders>
              <w:left w:val="single" w:sz="6" w:space="0" w:color="000000"/>
            </w:tcBorders>
            <w:shd w:val="clear" w:color="auto" w:fill="FFFFFF"/>
            <w:tcMar>
              <w:top w:w="0" w:type="dxa"/>
              <w:left w:w="10" w:type="dxa"/>
              <w:bottom w:w="0" w:type="dxa"/>
              <w:right w:w="10" w:type="dxa"/>
            </w:tcMar>
          </w:tcPr>
          <w:p w:rsidR="00690A13" w:rsidRPr="00251E0D"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07" w:type="dxa"/>
            <w:vMerge/>
            <w:tcBorders>
              <w:left w:val="single" w:sz="6" w:space="0" w:color="000000"/>
            </w:tcBorders>
            <w:shd w:val="clear" w:color="auto" w:fill="FFFFFF"/>
            <w:tcMar>
              <w:top w:w="0" w:type="dxa"/>
              <w:left w:w="10" w:type="dxa"/>
              <w:bottom w:w="0" w:type="dxa"/>
              <w:right w:w="10" w:type="dxa"/>
            </w:tcMar>
          </w:tcPr>
          <w:p w:rsidR="00690A13" w:rsidRPr="00251E0D"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268" w:type="dxa"/>
            <w:vMerge/>
            <w:tcBorders>
              <w:left w:val="single" w:sz="6" w:space="0" w:color="000000"/>
            </w:tcBorders>
            <w:shd w:val="clear" w:color="auto" w:fill="FFFFFF"/>
            <w:tcMar>
              <w:top w:w="0" w:type="dxa"/>
              <w:left w:w="10" w:type="dxa"/>
              <w:bottom w:w="0" w:type="dxa"/>
              <w:right w:w="10" w:type="dxa"/>
            </w:tcMar>
          </w:tcPr>
          <w:p w:rsidR="00690A13" w:rsidRPr="00251E0D"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26" w:type="dxa"/>
            <w:tcBorders>
              <w:left w:val="single" w:sz="6" w:space="0" w:color="000000"/>
              <w:right w:val="single" w:sz="6" w:space="0" w:color="000000"/>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r>
      <w:tr w:rsidR="00690A13" w:rsidRPr="004A5DE7" w:rsidTr="009C44AA">
        <w:trPr>
          <w:trHeight w:val="68"/>
        </w:trPr>
        <w:tc>
          <w:tcPr>
            <w:tcW w:w="500" w:type="dxa"/>
            <w:vMerge/>
            <w:tcBorders>
              <w:left w:val="single" w:sz="6" w:space="0" w:color="000000"/>
              <w:bottom w:val="single" w:sz="6" w:space="0" w:color="000000"/>
            </w:tcBorders>
            <w:shd w:val="clear" w:color="auto" w:fill="FFFFFF"/>
            <w:tcMar>
              <w:top w:w="0" w:type="dxa"/>
              <w:left w:w="10" w:type="dxa"/>
              <w:bottom w:w="0" w:type="dxa"/>
              <w:right w:w="10" w:type="dxa"/>
            </w:tcMar>
          </w:tcPr>
          <w:p w:rsidR="00690A13" w:rsidRPr="004A5DE7"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1499" w:type="dxa"/>
            <w:vMerge/>
            <w:tcBorders>
              <w:left w:val="single" w:sz="6" w:space="0" w:color="000000"/>
              <w:bottom w:val="single" w:sz="6" w:space="0" w:color="000000"/>
            </w:tcBorders>
            <w:shd w:val="clear" w:color="auto" w:fill="FFFFFF"/>
            <w:tcMar>
              <w:top w:w="0" w:type="dxa"/>
              <w:left w:w="10" w:type="dxa"/>
              <w:bottom w:w="0" w:type="dxa"/>
              <w:right w:w="10" w:type="dxa"/>
            </w:tcMar>
          </w:tcPr>
          <w:p w:rsidR="00690A13" w:rsidRPr="008231DA"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1670" w:type="dxa"/>
            <w:vMerge/>
            <w:tcBorders>
              <w:left w:val="single" w:sz="6" w:space="0" w:color="000000"/>
              <w:bottom w:val="single" w:sz="6" w:space="0" w:color="000000"/>
            </w:tcBorders>
            <w:shd w:val="clear" w:color="auto" w:fill="FFFFFF"/>
            <w:tcMar>
              <w:top w:w="0" w:type="dxa"/>
              <w:left w:w="10" w:type="dxa"/>
              <w:bottom w:w="0" w:type="dxa"/>
              <w:right w:w="10" w:type="dxa"/>
            </w:tcMar>
          </w:tcPr>
          <w:p w:rsidR="00690A13" w:rsidRPr="00251E0D"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07" w:type="dxa"/>
            <w:vMerge/>
            <w:tcBorders>
              <w:left w:val="single" w:sz="6" w:space="0" w:color="000000"/>
              <w:bottom w:val="single" w:sz="6" w:space="0" w:color="000000"/>
            </w:tcBorders>
            <w:shd w:val="clear" w:color="auto" w:fill="FFFFFF"/>
            <w:tcMar>
              <w:top w:w="0" w:type="dxa"/>
              <w:left w:w="10" w:type="dxa"/>
              <w:bottom w:w="0" w:type="dxa"/>
              <w:right w:w="10" w:type="dxa"/>
            </w:tcMar>
          </w:tcPr>
          <w:p w:rsidR="00690A13" w:rsidRPr="00251E0D"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268" w:type="dxa"/>
            <w:vMerge/>
            <w:tcBorders>
              <w:left w:val="single" w:sz="6" w:space="0" w:color="000000"/>
              <w:bottom w:val="single" w:sz="6" w:space="0" w:color="000000"/>
            </w:tcBorders>
            <w:shd w:val="clear" w:color="auto" w:fill="FFFFFF"/>
            <w:tcMar>
              <w:top w:w="0" w:type="dxa"/>
              <w:left w:w="10" w:type="dxa"/>
              <w:bottom w:w="0" w:type="dxa"/>
              <w:right w:w="10" w:type="dxa"/>
            </w:tcMar>
          </w:tcPr>
          <w:p w:rsidR="00690A13" w:rsidRPr="004A5DE7"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26" w:type="dxa"/>
            <w:tcBorders>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r>
      <w:tr w:rsidR="00690A13" w:rsidRPr="004A5DE7" w:rsidTr="00A134D1">
        <w:trPr>
          <w:trHeight w:val="1029"/>
        </w:trPr>
        <w:tc>
          <w:tcPr>
            <w:tcW w:w="500" w:type="dxa"/>
            <w:tcBorders>
              <w:left w:val="single" w:sz="6" w:space="0" w:color="000000"/>
            </w:tcBorders>
            <w:shd w:val="clear" w:color="auto" w:fill="FFFFFF"/>
            <w:tcMar>
              <w:top w:w="0" w:type="dxa"/>
              <w:left w:w="10" w:type="dxa"/>
              <w:bottom w:w="0" w:type="dxa"/>
              <w:right w:w="10" w:type="dxa"/>
            </w:tcMar>
          </w:tcPr>
          <w:p w:rsidR="00690A13" w:rsidRPr="00620CFA"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r>
              <w:rPr>
                <w:rFonts w:ascii="Verdana" w:eastAsia="Times New Roman" w:hAnsi="Verdana" w:cs="Times New Roman"/>
                <w:color w:val="000000"/>
                <w:sz w:val="18"/>
                <w:szCs w:val="18"/>
                <w:lang w:val="en-US" w:eastAsia="bg-BG"/>
              </w:rPr>
              <w:t xml:space="preserve"> </w:t>
            </w:r>
            <w:r w:rsidR="00620CFA">
              <w:rPr>
                <w:rFonts w:ascii="Verdana" w:eastAsia="Times New Roman" w:hAnsi="Verdana" w:cs="Times New Roman"/>
                <w:color w:val="000000"/>
                <w:sz w:val="18"/>
                <w:szCs w:val="18"/>
                <w:lang w:val="en-US" w:eastAsia="bg-BG"/>
              </w:rPr>
              <w:t>7</w:t>
            </w:r>
            <w:r>
              <w:rPr>
                <w:rFonts w:ascii="Verdana" w:eastAsia="Times New Roman" w:hAnsi="Verdana" w:cs="Times New Roman"/>
                <w:color w:val="000000"/>
                <w:sz w:val="18"/>
                <w:szCs w:val="18"/>
                <w:lang w:val="en-US" w:eastAsia="bg-BG"/>
              </w:rPr>
              <w:t>.</w:t>
            </w:r>
            <w:r w:rsidR="00620CFA">
              <w:rPr>
                <w:rFonts w:ascii="Verdana" w:eastAsia="Times New Roman" w:hAnsi="Verdana" w:cs="Times New Roman"/>
                <w:color w:val="000000"/>
                <w:sz w:val="18"/>
                <w:szCs w:val="18"/>
                <w:lang w:val="en-US" w:eastAsia="bg-BG"/>
              </w:rPr>
              <w:t xml:space="preserve"> </w:t>
            </w:r>
          </w:p>
        </w:tc>
        <w:tc>
          <w:tcPr>
            <w:tcW w:w="1499" w:type="dxa"/>
            <w:vMerge w:val="restart"/>
            <w:tcBorders>
              <w:left w:val="single" w:sz="6" w:space="0" w:color="000000"/>
            </w:tcBorders>
            <w:shd w:val="clear" w:color="auto" w:fill="FFFFFF"/>
            <w:tcMar>
              <w:top w:w="0" w:type="dxa"/>
              <w:left w:w="10" w:type="dxa"/>
              <w:bottom w:w="0" w:type="dxa"/>
              <w:right w:w="10" w:type="dxa"/>
            </w:tcMar>
          </w:tcPr>
          <w:p w:rsidR="00690A13" w:rsidRPr="008231DA"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Artificial lighting in the work environment and in the premises of residential and public buildings</w:t>
            </w:r>
          </w:p>
        </w:tc>
        <w:tc>
          <w:tcPr>
            <w:tcW w:w="1670" w:type="dxa"/>
            <w:vMerge w:val="restart"/>
            <w:tcBorders>
              <w:left w:val="single" w:sz="6" w:space="0" w:color="000000"/>
            </w:tcBorders>
            <w:shd w:val="clear" w:color="auto" w:fill="FFFFFF"/>
            <w:tcMar>
              <w:top w:w="0" w:type="dxa"/>
              <w:left w:w="10" w:type="dxa"/>
              <w:bottom w:w="0" w:type="dxa"/>
              <w:right w:w="10" w:type="dxa"/>
            </w:tcMar>
          </w:tcPr>
          <w:p w:rsidR="00690A13" w:rsidRPr="00251E0D" w:rsidRDefault="006A7062" w:rsidP="00A2721B">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New and operational sites and facilities</w:t>
            </w:r>
          </w:p>
        </w:tc>
        <w:tc>
          <w:tcPr>
            <w:tcW w:w="2107" w:type="dxa"/>
            <w:vMerge w:val="restart"/>
            <w:tcBorders>
              <w:top w:val="single" w:sz="6" w:space="0" w:color="000000"/>
              <w:left w:val="single" w:sz="6" w:space="0" w:color="000000"/>
            </w:tcBorders>
            <w:shd w:val="clear" w:color="auto" w:fill="FFFFFF"/>
            <w:tcMar>
              <w:top w:w="0" w:type="dxa"/>
              <w:left w:w="10" w:type="dxa"/>
              <w:bottom w:w="0" w:type="dxa"/>
              <w:right w:w="10" w:type="dxa"/>
            </w:tcMar>
          </w:tcPr>
          <w:p w:rsidR="00FE55DB" w:rsidRPr="00251E0D"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Illumination</w:t>
            </w:r>
          </w:p>
        </w:tc>
        <w:tc>
          <w:tcPr>
            <w:tcW w:w="2268" w:type="dxa"/>
            <w:vMerge w:val="restart"/>
            <w:tcBorders>
              <w:left w:val="single" w:sz="6" w:space="0" w:color="000000"/>
            </w:tcBorders>
            <w:shd w:val="clear" w:color="auto" w:fill="FFFFFF"/>
            <w:tcMar>
              <w:top w:w="0" w:type="dxa"/>
              <w:left w:w="10" w:type="dxa"/>
              <w:bottom w:w="0" w:type="dxa"/>
              <w:right w:w="10" w:type="dxa"/>
            </w:tcMar>
          </w:tcPr>
          <w:p w:rsidR="00FE55DB" w:rsidRPr="00FE55DB"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r w:rsidRPr="006A7062">
              <w:rPr>
                <w:rFonts w:ascii="Verdana" w:eastAsia="Times New Roman" w:hAnsi="Verdana" w:cs="Times New Roman"/>
                <w:color w:val="000000"/>
                <w:sz w:val="18"/>
                <w:szCs w:val="18"/>
                <w:lang w:eastAsia="bg-BG"/>
              </w:rPr>
              <w:t>Methodological guidelines for measuring and evaluating artificial lighting in buildings 40-85, Ed. Standardization, 85 PK 7.1-7</w:t>
            </w:r>
          </w:p>
        </w:tc>
        <w:tc>
          <w:tcPr>
            <w:tcW w:w="2126" w:type="dxa"/>
            <w:vMerge w:val="restart"/>
            <w:tcBorders>
              <w:left w:val="single" w:sz="6" w:space="0" w:color="000000"/>
              <w:right w:val="single" w:sz="6" w:space="0" w:color="000000"/>
            </w:tcBorders>
            <w:shd w:val="clear" w:color="auto" w:fill="FFFFFF"/>
            <w:tcMar>
              <w:top w:w="0" w:type="dxa"/>
              <w:left w:w="10" w:type="dxa"/>
              <w:bottom w:w="0" w:type="dxa"/>
              <w:right w:w="10" w:type="dxa"/>
            </w:tcMar>
          </w:tcPr>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49, (SG iss. 64/1976);</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9, (SG iss. 46/1994);</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3, (SG iss. 15/2007);</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26, (SG iss. 103/2008);</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РД-02-20-3, (SG iss. 5/2016);</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19, (SG iss. 79/2008);</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28, (SG iss. 109/2008), Annex No. 8 to Art. 12, para. 3;</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2, (SG iss. 15/2007);</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24, (SG iss. 95/2003);</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Instruction No. 34, SG iss. 82/1975)</w:t>
            </w:r>
          </w:p>
          <w:p w:rsidR="006A7062" w:rsidRPr="006A7062" w:rsidRDefault="000F659C"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eastAsia="bg-BG"/>
              </w:rPr>
              <w:t>БДС</w:t>
            </w:r>
            <w:r w:rsidR="006A7062" w:rsidRPr="006A7062">
              <w:rPr>
                <w:rFonts w:ascii="Verdana" w:eastAsia="Times New Roman" w:hAnsi="Verdana" w:cs="Times New Roman"/>
                <w:color w:val="000000"/>
                <w:sz w:val="18"/>
                <w:szCs w:val="18"/>
                <w:lang w:val="en-GB" w:eastAsia="bg-BG"/>
              </w:rPr>
              <w:t xml:space="preserve"> EN 12464-1;</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lz-1971, (SG no. 96/2009), Art. 55 (b);</w:t>
            </w:r>
          </w:p>
          <w:p w:rsidR="00A134D1" w:rsidRPr="00007101"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TS</w:t>
            </w:r>
          </w:p>
        </w:tc>
      </w:tr>
      <w:tr w:rsidR="00690A13" w:rsidRPr="004A5DE7" w:rsidTr="006A7062">
        <w:trPr>
          <w:trHeight w:val="1633"/>
        </w:trPr>
        <w:tc>
          <w:tcPr>
            <w:tcW w:w="500" w:type="dxa"/>
            <w:tcBorders>
              <w:left w:val="single" w:sz="6" w:space="0" w:color="000000"/>
              <w:bottom w:val="single" w:sz="4" w:space="0" w:color="auto"/>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p>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p>
          <w:p w:rsidR="00690A13" w:rsidRP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p>
        </w:tc>
        <w:tc>
          <w:tcPr>
            <w:tcW w:w="1499" w:type="dxa"/>
            <w:vMerge/>
            <w:tcBorders>
              <w:left w:val="single" w:sz="6" w:space="0" w:color="000000"/>
              <w:bottom w:val="single" w:sz="4" w:space="0" w:color="auto"/>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1670" w:type="dxa"/>
            <w:vMerge/>
            <w:tcBorders>
              <w:left w:val="single" w:sz="6" w:space="0" w:color="000000"/>
              <w:bottom w:val="single" w:sz="4" w:space="0" w:color="auto"/>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07" w:type="dxa"/>
            <w:vMerge/>
            <w:tcBorders>
              <w:left w:val="single" w:sz="6" w:space="0" w:color="000000"/>
              <w:bottom w:val="single" w:sz="4" w:space="0" w:color="auto"/>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268" w:type="dxa"/>
            <w:vMerge/>
            <w:tcBorders>
              <w:left w:val="single" w:sz="6" w:space="0" w:color="000000"/>
              <w:bottom w:val="single" w:sz="4" w:space="0" w:color="auto"/>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c>
          <w:tcPr>
            <w:tcW w:w="2126" w:type="dxa"/>
            <w:vMerge/>
            <w:tcBorders>
              <w:left w:val="single" w:sz="6" w:space="0" w:color="000000"/>
              <w:bottom w:val="single" w:sz="4" w:space="0" w:color="auto"/>
              <w:right w:val="single" w:sz="6" w:space="0" w:color="000000"/>
            </w:tcBorders>
            <w:shd w:val="clear" w:color="auto" w:fill="FFFFFF"/>
            <w:tcMar>
              <w:top w:w="0" w:type="dxa"/>
              <w:left w:w="10" w:type="dxa"/>
              <w:bottom w:w="0" w:type="dxa"/>
              <w:right w:w="10" w:type="dxa"/>
            </w:tcMar>
          </w:tcPr>
          <w:p w:rsidR="00690A13" w:rsidRDefault="00690A13"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p>
        </w:tc>
      </w:tr>
      <w:tr w:rsidR="006A7062" w:rsidRPr="004A5DE7" w:rsidTr="006A7062">
        <w:trPr>
          <w:trHeight w:val="1633"/>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9C44AA"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US" w:eastAsia="bg-BG"/>
              </w:rPr>
            </w:pPr>
            <w:r>
              <w:rPr>
                <w:rFonts w:ascii="Verdana" w:eastAsia="Times New Roman" w:hAnsi="Verdana" w:cs="Times New Roman"/>
                <w:color w:val="000000"/>
                <w:sz w:val="18"/>
                <w:szCs w:val="18"/>
                <w:lang w:eastAsia="bg-BG"/>
              </w:rPr>
              <w:t xml:space="preserve"> </w:t>
            </w:r>
            <w:r w:rsidR="006A7062">
              <w:rPr>
                <w:rFonts w:ascii="Verdana" w:eastAsia="Times New Roman" w:hAnsi="Verdana" w:cs="Times New Roman"/>
                <w:color w:val="000000"/>
                <w:sz w:val="18"/>
                <w:szCs w:val="18"/>
                <w:lang w:eastAsia="bg-BG"/>
              </w:rPr>
              <w:t>8</w:t>
            </w:r>
            <w:r>
              <w:rPr>
                <w:rFonts w:ascii="Verdana" w:eastAsia="Times New Roman" w:hAnsi="Verdana" w:cs="Times New Roman"/>
                <w:color w:val="000000"/>
                <w:sz w:val="18"/>
                <w:szCs w:val="18"/>
                <w:lang w:val="en-US" w:eastAsia="bg-BG"/>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Air conditioning systems</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New and operational sites and facilities</w:t>
            </w:r>
          </w:p>
        </w:tc>
        <w:tc>
          <w:tcPr>
            <w:tcW w:w="210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Air temperature. Relative air humidity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 xml:space="preserve">Ordinance No. РД-07- 3, (SG iss. 63/2014) </w:t>
            </w:r>
            <w:r w:rsidR="000F659C">
              <w:rPr>
                <w:rFonts w:ascii="Verdana" w:eastAsia="Times New Roman" w:hAnsi="Verdana" w:cs="Times New Roman"/>
                <w:color w:val="000000"/>
                <w:sz w:val="18"/>
                <w:szCs w:val="18"/>
                <w:lang w:eastAsia="bg-BG"/>
              </w:rPr>
              <w:t>БДС</w:t>
            </w:r>
            <w:r w:rsidRPr="006A7062">
              <w:rPr>
                <w:rFonts w:ascii="Verdana" w:eastAsia="Times New Roman" w:hAnsi="Verdana" w:cs="Times New Roman"/>
                <w:color w:val="000000"/>
                <w:sz w:val="18"/>
                <w:szCs w:val="18"/>
                <w:lang w:val="en-GB" w:eastAsia="bg-BG"/>
              </w:rPr>
              <w:t xml:space="preserve"> 16686</w:t>
            </w:r>
          </w:p>
          <w:p w:rsid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PK 7.1-8</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РД-07- 3, (SG no. 63/2014);</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 xml:space="preserve">Ordinance No. 15, (SG no. 68/2005); </w:t>
            </w:r>
            <w:r w:rsidR="000F659C">
              <w:rPr>
                <w:rFonts w:ascii="Verdana" w:eastAsia="Times New Roman" w:hAnsi="Verdana" w:cs="Times New Roman"/>
                <w:color w:val="000000"/>
                <w:sz w:val="18"/>
                <w:szCs w:val="18"/>
                <w:lang w:eastAsia="bg-BG"/>
              </w:rPr>
              <w:t>БДС</w:t>
            </w:r>
            <w:r w:rsidRPr="006A7062">
              <w:rPr>
                <w:rFonts w:ascii="Verdana" w:eastAsia="Times New Roman" w:hAnsi="Verdana" w:cs="Times New Roman"/>
                <w:color w:val="000000"/>
                <w:sz w:val="18"/>
                <w:szCs w:val="18"/>
                <w:lang w:val="en-GB" w:eastAsia="bg-BG"/>
              </w:rPr>
              <w:t xml:space="preserve"> 14776;</w:t>
            </w:r>
          </w:p>
          <w:p w:rsid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TS.</w:t>
            </w:r>
          </w:p>
        </w:tc>
      </w:tr>
      <w:tr w:rsidR="006A7062" w:rsidRPr="004A5DE7" w:rsidTr="006A7062">
        <w:trPr>
          <w:trHeight w:val="1633"/>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 xml:space="preserve"> </w:t>
            </w:r>
            <w:r w:rsidR="006A7062">
              <w:rPr>
                <w:rFonts w:ascii="Verdana" w:eastAsia="Times New Roman" w:hAnsi="Verdana" w:cs="Times New Roman"/>
                <w:color w:val="000000"/>
                <w:sz w:val="18"/>
                <w:szCs w:val="18"/>
                <w:lang w:eastAsia="bg-BG"/>
              </w:rPr>
              <w:t>9</w:t>
            </w:r>
            <w:r>
              <w:rPr>
                <w:rFonts w:ascii="Verdana" w:eastAsia="Times New Roman" w:hAnsi="Verdana" w:cs="Times New Roman"/>
                <w:color w:val="000000"/>
                <w:sz w:val="18"/>
                <w:szCs w:val="18"/>
                <w:lang w:eastAsia="bg-BG"/>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Noise in the work environment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New and operational sites and facilities</w:t>
            </w:r>
          </w:p>
        </w:tc>
        <w:tc>
          <w:tcPr>
            <w:tcW w:w="210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6A7062"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Daily noise exposure level; Average weekly noise exposure level; Peak sound pressure level Equivalent noise level; Noise level.</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eastAsia="bg-BG"/>
              </w:rPr>
              <w:t>БДС</w:t>
            </w:r>
            <w:r w:rsidRPr="006A7062">
              <w:rPr>
                <w:rFonts w:ascii="Verdana" w:eastAsia="Times New Roman" w:hAnsi="Verdana" w:cs="Times New Roman"/>
                <w:color w:val="000000"/>
                <w:sz w:val="18"/>
                <w:szCs w:val="18"/>
                <w:lang w:val="en-GB" w:eastAsia="bg-BG"/>
              </w:rPr>
              <w:t xml:space="preserve"> EN ISO 9612 (BDS 150 1999)</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 xml:space="preserve">PK 7.1-9 </w:t>
            </w:r>
          </w:p>
          <w:p w:rsidR="006A7062" w:rsidRPr="006A7062" w:rsidRDefault="009C44AA"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Pr>
                <w:rFonts w:ascii="Verdana" w:eastAsia="Times New Roman" w:hAnsi="Verdana" w:cs="Times New Roman"/>
                <w:color w:val="000000"/>
                <w:sz w:val="18"/>
                <w:szCs w:val="18"/>
                <w:lang w:eastAsia="bg-BG"/>
              </w:rPr>
              <w:t>БДС</w:t>
            </w:r>
            <w:r w:rsidR="006A7062" w:rsidRPr="006A7062">
              <w:rPr>
                <w:rFonts w:ascii="Verdana" w:eastAsia="Times New Roman" w:hAnsi="Verdana" w:cs="Times New Roman"/>
                <w:color w:val="000000"/>
                <w:sz w:val="18"/>
                <w:szCs w:val="18"/>
                <w:lang w:val="en-GB" w:eastAsia="bg-BG"/>
              </w:rPr>
              <w:t xml:space="preserve"> 15471;</w:t>
            </w:r>
          </w:p>
          <w:p w:rsid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PK 7.1-9</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 xml:space="preserve">Ordinance No. 6, SG iss. 70/2005; </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TS;</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7, SG iss. 88/1999, Art. 138;</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9,</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SG iss. 46/1994;</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Ordinance No. 26,</w:t>
            </w:r>
          </w:p>
          <w:p w:rsidR="006A7062" w:rsidRP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t>SG iss. 103/2008</w:t>
            </w:r>
          </w:p>
          <w:p w:rsidR="006A7062" w:rsidRDefault="006A7062" w:rsidP="006A7062">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6A7062">
              <w:rPr>
                <w:rFonts w:ascii="Verdana" w:eastAsia="Times New Roman" w:hAnsi="Verdana" w:cs="Times New Roman"/>
                <w:color w:val="000000"/>
                <w:sz w:val="18"/>
                <w:szCs w:val="18"/>
                <w:lang w:val="en-GB" w:eastAsia="bg-BG"/>
              </w:rPr>
              <w:lastRenderedPageBreak/>
              <w:t>TS;</w:t>
            </w:r>
          </w:p>
        </w:tc>
      </w:tr>
      <w:tr w:rsidR="006A7062" w:rsidRPr="004A5DE7" w:rsidTr="006A7062">
        <w:trPr>
          <w:trHeight w:val="1633"/>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lastRenderedPageBreak/>
              <w:t xml:space="preserve"> </w:t>
            </w:r>
            <w:r w:rsidR="006A7062">
              <w:rPr>
                <w:rFonts w:ascii="Verdana" w:eastAsia="Times New Roman" w:hAnsi="Verdana" w:cs="Times New Roman"/>
                <w:color w:val="000000"/>
                <w:sz w:val="18"/>
                <w:szCs w:val="18"/>
                <w:lang w:eastAsia="bg-BG"/>
              </w:rPr>
              <w:t>10</w:t>
            </w:r>
            <w:r>
              <w:rPr>
                <w:rFonts w:ascii="Verdana" w:eastAsia="Times New Roman" w:hAnsi="Verdana" w:cs="Times New Roman"/>
                <w:color w:val="000000"/>
                <w:sz w:val="18"/>
                <w:szCs w:val="18"/>
                <w:lang w:eastAsia="bg-BG"/>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Noise in the premises of residential and public buildings</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New and operational sites and facilities</w:t>
            </w:r>
          </w:p>
        </w:tc>
        <w:tc>
          <w:tcPr>
            <w:tcW w:w="210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Equivalent noise level; Noise level</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БДС</w:t>
            </w:r>
            <w:r w:rsidRPr="00A33714">
              <w:rPr>
                <w:rFonts w:ascii="Verdana" w:eastAsia="Times New Roman" w:hAnsi="Verdana" w:cs="Times New Roman"/>
                <w:color w:val="000000"/>
                <w:sz w:val="18"/>
                <w:szCs w:val="18"/>
                <w:lang w:eastAsia="bg-BG"/>
              </w:rPr>
              <w:t xml:space="preserve"> 15471;</w:t>
            </w:r>
          </w:p>
          <w:p w:rsidR="006A7062"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sidRPr="00A33714">
              <w:rPr>
                <w:rFonts w:ascii="Verdana" w:eastAsia="Times New Roman" w:hAnsi="Verdana" w:cs="Times New Roman"/>
                <w:color w:val="000000"/>
                <w:sz w:val="18"/>
                <w:szCs w:val="18"/>
                <w:lang w:eastAsia="bg-BG"/>
              </w:rPr>
              <w:t>PK 7.1-10</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6,</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SG iss. 58/2006 - (annex 2, table 1);</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9,</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SG iss. 46/1994;</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26, SG iss. 10З/2008;</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24, SG iss. 95/2003;</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2,</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SG iss. 15/2007;</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26, SG iss. 103/2008</w:t>
            </w:r>
          </w:p>
          <w:p w:rsidR="006A7062" w:rsidRPr="006A7062"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TS·</w:t>
            </w:r>
          </w:p>
        </w:tc>
      </w:tr>
      <w:tr w:rsidR="006A7062" w:rsidRPr="004A5DE7" w:rsidTr="000F659C">
        <w:trPr>
          <w:trHeight w:val="2002"/>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Default="009C44AA"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 xml:space="preserve"> </w:t>
            </w:r>
            <w:r w:rsidR="00A33714">
              <w:rPr>
                <w:rFonts w:ascii="Verdana" w:eastAsia="Times New Roman" w:hAnsi="Verdana" w:cs="Times New Roman"/>
                <w:color w:val="000000"/>
                <w:sz w:val="18"/>
                <w:szCs w:val="18"/>
                <w:lang w:eastAsia="bg-BG"/>
              </w:rPr>
              <w:t>11</w:t>
            </w:r>
            <w:r>
              <w:rPr>
                <w:rFonts w:ascii="Verdana" w:eastAsia="Times New Roman" w:hAnsi="Verdana" w:cs="Times New Roman"/>
                <w:color w:val="000000"/>
                <w:sz w:val="18"/>
                <w:szCs w:val="18"/>
                <w:lang w:eastAsia="bg-BG"/>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33714"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Noise in the environment - in the different territories and development zones in the urbanized territories and outside them.</w:t>
            </w:r>
          </w:p>
          <w:p w:rsidR="006A7062" w:rsidRPr="00A33714" w:rsidRDefault="006A7062" w:rsidP="00A33714">
            <w:pPr>
              <w:jc w:val="center"/>
              <w:rPr>
                <w:rFonts w:ascii="Verdana" w:eastAsia="Times New Roman" w:hAnsi="Verdana" w:cs="Times New Roman"/>
                <w:sz w:val="18"/>
                <w:szCs w:val="18"/>
                <w:lang w:val="en-GB" w:eastAsia="bg-BG"/>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New and operational sites and facilities</w:t>
            </w:r>
          </w:p>
        </w:tc>
        <w:tc>
          <w:tcPr>
            <w:tcW w:w="210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A7062" w:rsidRPr="006A7062" w:rsidRDefault="00A33714" w:rsidP="00690A13">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Equivalent noise level; Noise level</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БДС</w:t>
            </w:r>
            <w:r w:rsidRPr="00A33714">
              <w:rPr>
                <w:rFonts w:ascii="Verdana" w:eastAsia="Times New Roman" w:hAnsi="Verdana" w:cs="Times New Roman"/>
                <w:color w:val="000000"/>
                <w:sz w:val="18"/>
                <w:szCs w:val="18"/>
                <w:lang w:eastAsia="bg-BG"/>
              </w:rPr>
              <w:t xml:space="preserve"> 15471;</w:t>
            </w:r>
          </w:p>
          <w:p w:rsidR="006A7062"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eastAsia="bg-BG"/>
              </w:rPr>
            </w:pPr>
            <w:r w:rsidRPr="00A33714">
              <w:rPr>
                <w:rFonts w:ascii="Verdana" w:eastAsia="Times New Roman" w:hAnsi="Verdana" w:cs="Times New Roman"/>
                <w:color w:val="000000"/>
                <w:sz w:val="18"/>
                <w:szCs w:val="18"/>
                <w:lang w:eastAsia="bg-BG"/>
              </w:rPr>
              <w:t>PK 7.1-11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Ordinance No. 6,</w:t>
            </w:r>
          </w:p>
          <w:p w:rsidR="00A33714" w:rsidRPr="00A33714"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SG iss. 58/2006 -</w:t>
            </w:r>
          </w:p>
          <w:p w:rsidR="006A7062" w:rsidRPr="006A7062" w:rsidRDefault="00A33714" w:rsidP="00A33714">
            <w:pPr>
              <w:overflowPunct w:val="0"/>
              <w:autoSpaceDE w:val="0"/>
              <w:autoSpaceDN w:val="0"/>
              <w:adjustRightInd w:val="0"/>
              <w:spacing w:after="0" w:line="240" w:lineRule="auto"/>
              <w:textAlignment w:val="baseline"/>
              <w:rPr>
                <w:rFonts w:ascii="Verdana" w:eastAsia="Times New Roman" w:hAnsi="Verdana" w:cs="Times New Roman"/>
                <w:color w:val="000000"/>
                <w:sz w:val="18"/>
                <w:szCs w:val="18"/>
                <w:lang w:val="en-GB" w:eastAsia="bg-BG"/>
              </w:rPr>
            </w:pPr>
            <w:r w:rsidRPr="00A33714">
              <w:rPr>
                <w:rFonts w:ascii="Verdana" w:eastAsia="Times New Roman" w:hAnsi="Verdana" w:cs="Times New Roman"/>
                <w:color w:val="000000"/>
                <w:sz w:val="18"/>
                <w:szCs w:val="18"/>
                <w:lang w:val="en-GB" w:eastAsia="bg-BG"/>
              </w:rPr>
              <w:t>annex 2, table 2); TS;</w:t>
            </w:r>
          </w:p>
        </w:tc>
      </w:tr>
    </w:tbl>
    <w:p w:rsidR="002061F7" w:rsidRPr="009C44AA" w:rsidRDefault="009C44AA" w:rsidP="00001C8A">
      <w:pPr>
        <w:spacing w:after="0" w:line="240" w:lineRule="auto"/>
        <w:jc w:val="both"/>
        <w:rPr>
          <w:rFonts w:ascii="Verdana" w:eastAsia="Calibri" w:hAnsi="Verdana" w:cs="Arial"/>
          <w:bCs/>
          <w:i/>
          <w:sz w:val="18"/>
          <w:szCs w:val="20"/>
          <w:lang w:val="en-US" w:eastAsia="bg-BG"/>
        </w:rPr>
      </w:pPr>
      <w:r w:rsidRPr="009C44AA">
        <w:rPr>
          <w:rFonts w:ascii="Verdana" w:eastAsia="Calibri" w:hAnsi="Verdana" w:cs="Arial"/>
          <w:bCs/>
          <w:i/>
          <w:sz w:val="18"/>
          <w:szCs w:val="20"/>
          <w:lang w:eastAsia="bg-BG"/>
        </w:rPr>
        <w:t>*</w:t>
      </w:r>
      <w:r w:rsidRPr="009C44AA">
        <w:rPr>
          <w:rFonts w:ascii="Verdana" w:eastAsia="Calibri" w:hAnsi="Verdana" w:cs="Arial"/>
          <w:bCs/>
          <w:i/>
          <w:sz w:val="18"/>
          <w:szCs w:val="20"/>
          <w:lang w:val="en-US" w:eastAsia="bg-BG"/>
        </w:rPr>
        <w:t>The introduction of a new version of standards/documents or standards</w:t>
      </w:r>
      <w:r>
        <w:rPr>
          <w:rFonts w:ascii="Verdana" w:eastAsia="Calibri" w:hAnsi="Verdana" w:cs="Arial"/>
          <w:bCs/>
          <w:i/>
          <w:sz w:val="18"/>
          <w:szCs w:val="20"/>
          <w:lang w:val="en-US" w:eastAsia="bg-BG"/>
        </w:rPr>
        <w:t xml:space="preserve">/documents that replace them is permitted. An up-to-date list </w:t>
      </w:r>
      <w:r w:rsidR="00001C8A">
        <w:rPr>
          <w:rFonts w:ascii="Verdana" w:eastAsia="Calibri" w:hAnsi="Verdana" w:cs="Arial"/>
          <w:bCs/>
          <w:i/>
          <w:sz w:val="18"/>
          <w:szCs w:val="20"/>
          <w:lang w:val="en-US" w:eastAsia="bg-BG"/>
        </w:rPr>
        <w:t xml:space="preserve">of standards/documents with their dated versions is provided by the </w:t>
      </w:r>
      <w:r w:rsidR="00C37253">
        <w:rPr>
          <w:rFonts w:ascii="Verdana" w:eastAsia="Calibri" w:hAnsi="Verdana" w:cs="Arial"/>
          <w:bCs/>
          <w:i/>
          <w:sz w:val="18"/>
          <w:szCs w:val="20"/>
          <w:lang w:val="en-US" w:eastAsia="bg-BG"/>
        </w:rPr>
        <w:t>CAB</w:t>
      </w:r>
      <w:r w:rsidR="00001C8A">
        <w:rPr>
          <w:rFonts w:ascii="Verdana" w:eastAsia="Calibri" w:hAnsi="Verdana" w:cs="Arial"/>
          <w:bCs/>
          <w:i/>
          <w:sz w:val="18"/>
          <w:szCs w:val="20"/>
          <w:lang w:val="en-US" w:eastAsia="bg-BG"/>
        </w:rPr>
        <w:t>.</w:t>
      </w:r>
    </w:p>
    <w:p w:rsidR="009C44AA" w:rsidRPr="009C44AA" w:rsidRDefault="009C44AA" w:rsidP="00C01D22">
      <w:pPr>
        <w:spacing w:after="0" w:line="240" w:lineRule="auto"/>
        <w:rPr>
          <w:rFonts w:ascii="Verdana" w:eastAsia="Calibri" w:hAnsi="Verdana" w:cs="Arial"/>
          <w:b/>
          <w:bCs/>
          <w:sz w:val="20"/>
          <w:szCs w:val="20"/>
          <w:lang w:eastAsia="bg-BG"/>
        </w:rPr>
      </w:pP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16-116 on the technical operation of energy equipment (SG iss. 26/2008)</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3 on the configuration of electrical installations and power lines (SG iss. 90/2004, issue 91/2004)</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4 on the lightning protection of buildings, outdoor facilities and open spaces (SG iss. 6/2011)</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1 on the design, construction and maintenance of low voltage electrical systems in buildings (SG No. 46/2010);</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RD-07-3 on the minimum requirements for the microclimate of workplaces (SG iss. 63/10.08.2014)</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9 on the health and hygiene requirements for the use of personal computers in the education and extracurricular activities of students (SG iss. 46/1994)</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24 on sanitary and hygienic requirements for discotheques (SG No. 95/2003);</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 on health requirements for computer and internet rooms for public use (SG iss. 15/2007)</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3 on the health requirements for kindergartens (SG No. 15/2007)</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26 on the organization and operation of nurseries and children's communal kitchens and the health requirements for them (SG iss. 103/2008)</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 xml:space="preserve">Instruction No. 34 on the hygiene of sports facilities and equipment (SG iss. 82/1975.) </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49 on artificial lighting of buildings (SG iss. 7/1976)</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RD-02-20-3, SG iss. 5/2016 for the design, implementation and maintenance of public service buildings in the fields of education and science, healthcare, culture and the arts.</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19 on the organization and order of the optics shops and the health requirements for them (SG iss. 79/2008)</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lastRenderedPageBreak/>
        <w:t>Ordinance No. 28 on the structure, order and organization of work and the nomenclature of medicinal products (SG iss. 109/2008, Annex No. 8 to Art. 12, para. 3)</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15 - on the technical rules and regulations for the design, construction and operation of the sites and facilities for the production, transmission and distribution of thermal energy (SG No. 68/2005);</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RD-02-20-1 - on technical rules and regulations for control and acceptance of electrical installation works (SG No. 53 / 2018);</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6 on the minimum requirements for ensuring the health and safety of workers in case of risks related to noise exposure (SG No. 70/2005);</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Iz-1971 - on construction and technical rules and norms for ensuring safety in case of fire (SG. No. 96/2009 r.)</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9 on the health and hygiene requirements for the use of personal computers in the education and extracurricular activities of students (SG No. 46/1994);</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26 - on the organization and operation of nurseries and children's kitchens and the health requirements for them (SG iss. 103/2008)</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6 on the indicators of noise in the environment, taking into account the degree of discomfort during the different parts of the day, the limit values of the indicators of noise in the environment, the methods of evaluating the values of the indicators of noise and the harmful effects on the health of the population (SG No. 58/2006);</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7 on the minimum requirements for health and safety working conditions at workplaces and when using work equipment (SG iss. 88/1999);</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24 on sanitary and hygienic requirements for discotheques (SG iss. 95/2003);</w:t>
      </w:r>
    </w:p>
    <w:p w:rsidR="00281518" w:rsidRPr="00281518" w:rsidRDefault="00281518" w:rsidP="00281518">
      <w:pPr>
        <w:spacing w:after="0" w:line="240" w:lineRule="auto"/>
        <w:jc w:val="both"/>
        <w:rPr>
          <w:rFonts w:ascii="Verdana" w:eastAsia="Calibri" w:hAnsi="Verdana" w:cs="Arial"/>
          <w:bCs/>
          <w:sz w:val="20"/>
          <w:szCs w:val="20"/>
          <w:lang w:val="en-US" w:eastAsia="bg-BG"/>
        </w:rPr>
      </w:pPr>
      <w:r w:rsidRPr="00281518">
        <w:rPr>
          <w:rFonts w:ascii="Verdana" w:eastAsia="Calibri" w:hAnsi="Verdana" w:cs="Arial"/>
          <w:bCs/>
          <w:sz w:val="20"/>
          <w:szCs w:val="20"/>
          <w:lang w:val="en-US" w:eastAsia="bg-BG"/>
        </w:rPr>
        <w:t>Ordinance No. 2 on the health requirements for computers and Internet rooms for public use (SG No. 15/2007);</w:t>
      </w:r>
    </w:p>
    <w:p w:rsidR="000F659C" w:rsidRPr="00E43C79" w:rsidRDefault="00281518" w:rsidP="000F659C">
      <w:pPr>
        <w:spacing w:after="0" w:line="240" w:lineRule="auto"/>
        <w:jc w:val="both"/>
        <w:rPr>
          <w:rFonts w:ascii="Verdana" w:eastAsia="Calibri" w:hAnsi="Verdana" w:cs="Arial"/>
          <w:bCs/>
          <w:sz w:val="20"/>
          <w:szCs w:val="20"/>
          <w:lang w:eastAsia="bg-BG"/>
        </w:rPr>
      </w:pPr>
      <w:r w:rsidRPr="00281518">
        <w:rPr>
          <w:rFonts w:ascii="Verdana" w:eastAsia="Calibri" w:hAnsi="Verdana" w:cs="Arial"/>
          <w:bCs/>
          <w:sz w:val="20"/>
          <w:szCs w:val="20"/>
          <w:lang w:val="en-US" w:eastAsia="bg-BG"/>
        </w:rPr>
        <w:t>TS-Technical Specification</w:t>
      </w:r>
      <w:r w:rsidR="009878FA">
        <w:rPr>
          <w:rFonts w:ascii="Verdana" w:eastAsia="Calibri" w:hAnsi="Verdana" w:cs="Arial"/>
          <w:bCs/>
          <w:sz w:val="20"/>
          <w:szCs w:val="20"/>
          <w:lang w:eastAsia="bg-BG"/>
        </w:rPr>
        <w:t>.</w:t>
      </w:r>
      <w:bookmarkStart w:id="0" w:name="_GoBack"/>
      <w:bookmarkEnd w:id="0"/>
    </w:p>
    <w:sectPr w:rsidR="000F659C" w:rsidRPr="00E43C79" w:rsidSect="008E7C57">
      <w:footerReference w:type="default" r:id="rId8"/>
      <w:footerReference w:type="first" r:id="rId9"/>
      <w:pgSz w:w="11907" w:h="16840" w:code="9"/>
      <w:pgMar w:top="993" w:right="1134" w:bottom="567" w:left="1701" w:header="709" w:footer="202"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CC" w:rsidRDefault="00524CCC" w:rsidP="00434DCF">
      <w:pPr>
        <w:spacing w:after="0" w:line="240" w:lineRule="auto"/>
      </w:pPr>
      <w:r>
        <w:separator/>
      </w:r>
    </w:p>
  </w:endnote>
  <w:endnote w:type="continuationSeparator" w:id="0">
    <w:p w:rsidR="00524CCC" w:rsidRDefault="00524CCC" w:rsidP="0043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87" w:rsidRPr="008742D1" w:rsidRDefault="00F0348C" w:rsidP="00E43C79">
    <w:pPr>
      <w:tabs>
        <w:tab w:val="center" w:pos="4320"/>
      </w:tabs>
      <w:jc w:val="right"/>
      <w:rPr>
        <w:rFonts w:ascii="Verdana" w:eastAsia="Tahoma" w:hAnsi="Verdana" w:cs="Tahoma"/>
        <w:color w:val="000000"/>
        <w:sz w:val="16"/>
        <w:szCs w:val="16"/>
        <w:lang w:eastAsia="bg-BG" w:bidi="bg-BG"/>
      </w:rPr>
    </w:pPr>
    <w:r w:rsidRPr="008742D1">
      <w:rPr>
        <w:rStyle w:val="Headerorfooter"/>
        <w:rFonts w:ascii="Verdana" w:hAnsi="Verdana"/>
        <w:b w:val="0"/>
        <w:bCs w:val="0"/>
        <w:sz w:val="16"/>
        <w:szCs w:val="16"/>
      </w:rPr>
      <w:tab/>
    </w:r>
    <w:r w:rsidRPr="008742D1">
      <w:rPr>
        <w:rFonts w:ascii="Verdana" w:hAnsi="Verdana"/>
        <w:sz w:val="16"/>
        <w:szCs w:val="16"/>
      </w:rPr>
      <w:tab/>
      <w:t xml:space="preserve">           </w:t>
    </w:r>
    <w:r w:rsidRPr="008742D1">
      <w:rPr>
        <w:rFonts w:ascii="Verdana" w:hAnsi="Verdana"/>
        <w:sz w:val="16"/>
        <w:szCs w:val="16"/>
      </w:rPr>
      <w:tab/>
      <w:t xml:space="preserve">Page </w:t>
    </w:r>
    <w:r w:rsidRPr="008742D1">
      <w:rPr>
        <w:rFonts w:ascii="Verdana" w:hAnsi="Verdana"/>
        <w:sz w:val="16"/>
        <w:szCs w:val="16"/>
      </w:rPr>
      <w:fldChar w:fldCharType="begin"/>
    </w:r>
    <w:r w:rsidRPr="008742D1">
      <w:rPr>
        <w:rFonts w:ascii="Verdana" w:hAnsi="Verdana"/>
        <w:sz w:val="16"/>
        <w:szCs w:val="16"/>
      </w:rPr>
      <w:instrText xml:space="preserve"> PAGE </w:instrText>
    </w:r>
    <w:r w:rsidRPr="008742D1">
      <w:rPr>
        <w:rFonts w:ascii="Verdana" w:hAnsi="Verdana"/>
        <w:sz w:val="16"/>
        <w:szCs w:val="16"/>
      </w:rPr>
      <w:fldChar w:fldCharType="separate"/>
    </w:r>
    <w:r w:rsidR="00E43C79">
      <w:rPr>
        <w:rFonts w:ascii="Verdana" w:hAnsi="Verdana"/>
        <w:noProof/>
        <w:sz w:val="16"/>
        <w:szCs w:val="16"/>
      </w:rPr>
      <w:t>3</w:t>
    </w:r>
    <w:r w:rsidRPr="008742D1">
      <w:rPr>
        <w:rFonts w:ascii="Verdana" w:hAnsi="Verdana"/>
        <w:sz w:val="16"/>
        <w:szCs w:val="16"/>
      </w:rPr>
      <w:fldChar w:fldCharType="end"/>
    </w:r>
    <w:r w:rsidRPr="008742D1">
      <w:rPr>
        <w:rFonts w:ascii="Verdana" w:hAnsi="Verdana"/>
        <w:sz w:val="16"/>
        <w:szCs w:val="16"/>
        <w:lang w:val="be-BY"/>
      </w:rPr>
      <w:t>/</w:t>
    </w:r>
    <w:r w:rsidRPr="008742D1">
      <w:rPr>
        <w:rFonts w:ascii="Verdana" w:hAnsi="Verdana"/>
        <w:sz w:val="16"/>
        <w:szCs w:val="16"/>
      </w:rPr>
      <w:fldChar w:fldCharType="begin"/>
    </w:r>
    <w:r w:rsidRPr="008742D1">
      <w:rPr>
        <w:rFonts w:ascii="Verdana" w:hAnsi="Verdana"/>
        <w:sz w:val="16"/>
        <w:szCs w:val="16"/>
      </w:rPr>
      <w:instrText xml:space="preserve"> NUMPAGES </w:instrText>
    </w:r>
    <w:r w:rsidRPr="008742D1">
      <w:rPr>
        <w:rFonts w:ascii="Verdana" w:hAnsi="Verdana"/>
        <w:sz w:val="16"/>
        <w:szCs w:val="16"/>
      </w:rPr>
      <w:fldChar w:fldCharType="separate"/>
    </w:r>
    <w:r w:rsidR="00E43C79">
      <w:rPr>
        <w:rFonts w:ascii="Verdana" w:hAnsi="Verdana"/>
        <w:noProof/>
        <w:sz w:val="16"/>
        <w:szCs w:val="16"/>
      </w:rPr>
      <w:t>4</w:t>
    </w:r>
    <w:r w:rsidRPr="008742D1">
      <w:rPr>
        <w:rFonts w:ascii="Verdana" w:hAnsi="Verdana"/>
        <w:sz w:val="16"/>
        <w:szCs w:val="16"/>
      </w:rPr>
      <w:fldChar w:fldCharType="end"/>
    </w:r>
  </w:p>
  <w:p w:rsidR="00DD6B87" w:rsidRDefault="00E43C79">
    <w:pPr>
      <w:pStyle w:val="Footer"/>
    </w:pPr>
  </w:p>
  <w:p w:rsidR="00306344" w:rsidRDefault="00306344"/>
  <w:p w:rsidR="00306344" w:rsidRDefault="0030634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87" w:rsidRPr="00E43C79" w:rsidRDefault="00F0348C" w:rsidP="00E43C79">
    <w:pPr>
      <w:pStyle w:val="Footer"/>
    </w:pPr>
    <w:r w:rsidRPr="00E43C79">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CC" w:rsidRDefault="00524CCC" w:rsidP="00434DCF">
      <w:pPr>
        <w:spacing w:after="0" w:line="240" w:lineRule="auto"/>
      </w:pPr>
      <w:r>
        <w:separator/>
      </w:r>
    </w:p>
  </w:footnote>
  <w:footnote w:type="continuationSeparator" w:id="0">
    <w:p w:rsidR="00524CCC" w:rsidRDefault="00524CCC" w:rsidP="0043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F38"/>
    <w:multiLevelType w:val="hybridMultilevel"/>
    <w:tmpl w:val="6228EDA2"/>
    <w:lvl w:ilvl="0" w:tplc="3FE25138">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0C76"/>
    <w:multiLevelType w:val="hybridMultilevel"/>
    <w:tmpl w:val="4CB40FE0"/>
    <w:lvl w:ilvl="0" w:tplc="A78C1D02">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D2C3C"/>
    <w:multiLevelType w:val="hybridMultilevel"/>
    <w:tmpl w:val="494A3104"/>
    <w:lvl w:ilvl="0" w:tplc="BD282090">
      <w:numFmt w:val="bullet"/>
      <w:lvlText w:val="-"/>
      <w:lvlJc w:val="left"/>
      <w:pPr>
        <w:ind w:left="108" w:hanging="106"/>
      </w:pPr>
      <w:rPr>
        <w:rFonts w:ascii="Calibri" w:eastAsia="Calibri" w:hAnsi="Calibri" w:cs="Calibri" w:hint="default"/>
        <w:w w:val="99"/>
        <w:sz w:val="20"/>
        <w:szCs w:val="20"/>
        <w:lang w:val="en-US" w:eastAsia="en-US" w:bidi="ar-SA"/>
      </w:rPr>
    </w:lvl>
    <w:lvl w:ilvl="1" w:tplc="763651BC">
      <w:numFmt w:val="bullet"/>
      <w:lvlText w:val="•"/>
      <w:lvlJc w:val="left"/>
      <w:pPr>
        <w:ind w:left="287" w:hanging="106"/>
      </w:pPr>
      <w:rPr>
        <w:rFonts w:hint="default"/>
        <w:lang w:val="en-US" w:eastAsia="en-US" w:bidi="ar-SA"/>
      </w:rPr>
    </w:lvl>
    <w:lvl w:ilvl="2" w:tplc="12E2E35C">
      <w:numFmt w:val="bullet"/>
      <w:lvlText w:val="•"/>
      <w:lvlJc w:val="left"/>
      <w:pPr>
        <w:ind w:left="474" w:hanging="106"/>
      </w:pPr>
      <w:rPr>
        <w:rFonts w:hint="default"/>
        <w:lang w:val="en-US" w:eastAsia="en-US" w:bidi="ar-SA"/>
      </w:rPr>
    </w:lvl>
    <w:lvl w:ilvl="3" w:tplc="C5E21D6C">
      <w:numFmt w:val="bullet"/>
      <w:lvlText w:val="•"/>
      <w:lvlJc w:val="left"/>
      <w:pPr>
        <w:ind w:left="661" w:hanging="106"/>
      </w:pPr>
      <w:rPr>
        <w:rFonts w:hint="default"/>
        <w:lang w:val="en-US" w:eastAsia="en-US" w:bidi="ar-SA"/>
      </w:rPr>
    </w:lvl>
    <w:lvl w:ilvl="4" w:tplc="F7C4D938">
      <w:numFmt w:val="bullet"/>
      <w:lvlText w:val="•"/>
      <w:lvlJc w:val="left"/>
      <w:pPr>
        <w:ind w:left="848" w:hanging="106"/>
      </w:pPr>
      <w:rPr>
        <w:rFonts w:hint="default"/>
        <w:lang w:val="en-US" w:eastAsia="en-US" w:bidi="ar-SA"/>
      </w:rPr>
    </w:lvl>
    <w:lvl w:ilvl="5" w:tplc="B3122B04">
      <w:numFmt w:val="bullet"/>
      <w:lvlText w:val="•"/>
      <w:lvlJc w:val="left"/>
      <w:pPr>
        <w:ind w:left="1036" w:hanging="106"/>
      </w:pPr>
      <w:rPr>
        <w:rFonts w:hint="default"/>
        <w:lang w:val="en-US" w:eastAsia="en-US" w:bidi="ar-SA"/>
      </w:rPr>
    </w:lvl>
    <w:lvl w:ilvl="6" w:tplc="867CD9D0">
      <w:numFmt w:val="bullet"/>
      <w:lvlText w:val="•"/>
      <w:lvlJc w:val="left"/>
      <w:pPr>
        <w:ind w:left="1223" w:hanging="106"/>
      </w:pPr>
      <w:rPr>
        <w:rFonts w:hint="default"/>
        <w:lang w:val="en-US" w:eastAsia="en-US" w:bidi="ar-SA"/>
      </w:rPr>
    </w:lvl>
    <w:lvl w:ilvl="7" w:tplc="8A4061D8">
      <w:numFmt w:val="bullet"/>
      <w:lvlText w:val="•"/>
      <w:lvlJc w:val="left"/>
      <w:pPr>
        <w:ind w:left="1410" w:hanging="106"/>
      </w:pPr>
      <w:rPr>
        <w:rFonts w:hint="default"/>
        <w:lang w:val="en-US" w:eastAsia="en-US" w:bidi="ar-SA"/>
      </w:rPr>
    </w:lvl>
    <w:lvl w:ilvl="8" w:tplc="0A42FF4A">
      <w:numFmt w:val="bullet"/>
      <w:lvlText w:val="•"/>
      <w:lvlJc w:val="left"/>
      <w:pPr>
        <w:ind w:left="1597" w:hanging="106"/>
      </w:pPr>
      <w:rPr>
        <w:rFonts w:hint="default"/>
        <w:lang w:val="en-US" w:eastAsia="en-US" w:bidi="ar-SA"/>
      </w:rPr>
    </w:lvl>
  </w:abstractNum>
  <w:abstractNum w:abstractNumId="3" w15:restartNumberingAfterBreak="0">
    <w:nsid w:val="63DC3371"/>
    <w:multiLevelType w:val="hybridMultilevel"/>
    <w:tmpl w:val="1EC4C5CA"/>
    <w:lvl w:ilvl="0" w:tplc="F176D79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56E18"/>
    <w:multiLevelType w:val="hybridMultilevel"/>
    <w:tmpl w:val="359CEB06"/>
    <w:lvl w:ilvl="0" w:tplc="29FE622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C"/>
    <w:rsid w:val="00000258"/>
    <w:rsid w:val="00001C8A"/>
    <w:rsid w:val="00007101"/>
    <w:rsid w:val="00051E27"/>
    <w:rsid w:val="00052024"/>
    <w:rsid w:val="0006314A"/>
    <w:rsid w:val="000B0F55"/>
    <w:rsid w:val="000C0D8C"/>
    <w:rsid w:val="000F659C"/>
    <w:rsid w:val="001033AE"/>
    <w:rsid w:val="0011353C"/>
    <w:rsid w:val="00123D2D"/>
    <w:rsid w:val="00141A84"/>
    <w:rsid w:val="0017616C"/>
    <w:rsid w:val="00194B7F"/>
    <w:rsid w:val="001A72EF"/>
    <w:rsid w:val="001B55D4"/>
    <w:rsid w:val="001F2D97"/>
    <w:rsid w:val="002061F7"/>
    <w:rsid w:val="00212474"/>
    <w:rsid w:val="00214D8B"/>
    <w:rsid w:val="002414AF"/>
    <w:rsid w:val="00246D56"/>
    <w:rsid w:val="00251E0D"/>
    <w:rsid w:val="00255C6D"/>
    <w:rsid w:val="00281518"/>
    <w:rsid w:val="00294259"/>
    <w:rsid w:val="002A4214"/>
    <w:rsid w:val="002B45F9"/>
    <w:rsid w:val="002C4836"/>
    <w:rsid w:val="002E26AD"/>
    <w:rsid w:val="00306344"/>
    <w:rsid w:val="00325D22"/>
    <w:rsid w:val="00333DF0"/>
    <w:rsid w:val="003562AF"/>
    <w:rsid w:val="00376146"/>
    <w:rsid w:val="003A3A66"/>
    <w:rsid w:val="003E5912"/>
    <w:rsid w:val="003F4433"/>
    <w:rsid w:val="00410F02"/>
    <w:rsid w:val="004219EA"/>
    <w:rsid w:val="00426540"/>
    <w:rsid w:val="00434DCF"/>
    <w:rsid w:val="004A5DE7"/>
    <w:rsid w:val="004C3849"/>
    <w:rsid w:val="004E2BD2"/>
    <w:rsid w:val="00502F9E"/>
    <w:rsid w:val="00524CCC"/>
    <w:rsid w:val="00534E6A"/>
    <w:rsid w:val="00565513"/>
    <w:rsid w:val="005A5DD8"/>
    <w:rsid w:val="005B50FD"/>
    <w:rsid w:val="005F293F"/>
    <w:rsid w:val="0060625F"/>
    <w:rsid w:val="0061371D"/>
    <w:rsid w:val="00614151"/>
    <w:rsid w:val="006147F2"/>
    <w:rsid w:val="006174CB"/>
    <w:rsid w:val="00620CFA"/>
    <w:rsid w:val="00621417"/>
    <w:rsid w:val="00622F86"/>
    <w:rsid w:val="00650333"/>
    <w:rsid w:val="00652A3D"/>
    <w:rsid w:val="00654671"/>
    <w:rsid w:val="00661C82"/>
    <w:rsid w:val="00662571"/>
    <w:rsid w:val="0067412C"/>
    <w:rsid w:val="006866B3"/>
    <w:rsid w:val="00690A13"/>
    <w:rsid w:val="006A7062"/>
    <w:rsid w:val="006A74A7"/>
    <w:rsid w:val="006B74B8"/>
    <w:rsid w:val="006C20F1"/>
    <w:rsid w:val="006F1377"/>
    <w:rsid w:val="007175F8"/>
    <w:rsid w:val="00723ABA"/>
    <w:rsid w:val="007309B0"/>
    <w:rsid w:val="0075106B"/>
    <w:rsid w:val="00754CDC"/>
    <w:rsid w:val="00785942"/>
    <w:rsid w:val="007A132B"/>
    <w:rsid w:val="007F1695"/>
    <w:rsid w:val="007F6EA7"/>
    <w:rsid w:val="00807906"/>
    <w:rsid w:val="00817EEF"/>
    <w:rsid w:val="008231DA"/>
    <w:rsid w:val="00853799"/>
    <w:rsid w:val="00863AA4"/>
    <w:rsid w:val="008742D1"/>
    <w:rsid w:val="00894B31"/>
    <w:rsid w:val="008A391F"/>
    <w:rsid w:val="008C7A08"/>
    <w:rsid w:val="008E7D10"/>
    <w:rsid w:val="0091341C"/>
    <w:rsid w:val="009147F9"/>
    <w:rsid w:val="00953065"/>
    <w:rsid w:val="00953DD1"/>
    <w:rsid w:val="00954D5F"/>
    <w:rsid w:val="00977B6E"/>
    <w:rsid w:val="009878FA"/>
    <w:rsid w:val="00987CAD"/>
    <w:rsid w:val="009C1318"/>
    <w:rsid w:val="009C44AA"/>
    <w:rsid w:val="009D287E"/>
    <w:rsid w:val="009F24C6"/>
    <w:rsid w:val="00A134D1"/>
    <w:rsid w:val="00A2721B"/>
    <w:rsid w:val="00A33714"/>
    <w:rsid w:val="00A517C1"/>
    <w:rsid w:val="00A627CB"/>
    <w:rsid w:val="00A82419"/>
    <w:rsid w:val="00A87CFE"/>
    <w:rsid w:val="00AF371B"/>
    <w:rsid w:val="00B01D73"/>
    <w:rsid w:val="00B55D66"/>
    <w:rsid w:val="00B64143"/>
    <w:rsid w:val="00B70D94"/>
    <w:rsid w:val="00BA1972"/>
    <w:rsid w:val="00BB36ED"/>
    <w:rsid w:val="00BB560D"/>
    <w:rsid w:val="00BC2D20"/>
    <w:rsid w:val="00BD5CE4"/>
    <w:rsid w:val="00BD7B66"/>
    <w:rsid w:val="00BE2F41"/>
    <w:rsid w:val="00C01D22"/>
    <w:rsid w:val="00C37253"/>
    <w:rsid w:val="00C46297"/>
    <w:rsid w:val="00C52F37"/>
    <w:rsid w:val="00C86622"/>
    <w:rsid w:val="00CA3AA1"/>
    <w:rsid w:val="00CA6B15"/>
    <w:rsid w:val="00CF00D1"/>
    <w:rsid w:val="00D00218"/>
    <w:rsid w:val="00D064A3"/>
    <w:rsid w:val="00D323F7"/>
    <w:rsid w:val="00D405CA"/>
    <w:rsid w:val="00D50F8A"/>
    <w:rsid w:val="00D67CA8"/>
    <w:rsid w:val="00D7333B"/>
    <w:rsid w:val="00D86CA7"/>
    <w:rsid w:val="00DA649C"/>
    <w:rsid w:val="00DB4F20"/>
    <w:rsid w:val="00DF3D04"/>
    <w:rsid w:val="00DF58F8"/>
    <w:rsid w:val="00E2697D"/>
    <w:rsid w:val="00E41B2A"/>
    <w:rsid w:val="00E43C79"/>
    <w:rsid w:val="00E61382"/>
    <w:rsid w:val="00E6158F"/>
    <w:rsid w:val="00E8589E"/>
    <w:rsid w:val="00EA624F"/>
    <w:rsid w:val="00EB5914"/>
    <w:rsid w:val="00EC0AC5"/>
    <w:rsid w:val="00EE705F"/>
    <w:rsid w:val="00EE7BD5"/>
    <w:rsid w:val="00F01594"/>
    <w:rsid w:val="00F0348C"/>
    <w:rsid w:val="00F56B60"/>
    <w:rsid w:val="00F7402F"/>
    <w:rsid w:val="00F820F8"/>
    <w:rsid w:val="00F8760A"/>
    <w:rsid w:val="00F9437B"/>
    <w:rsid w:val="00FA3A68"/>
    <w:rsid w:val="00FE55DB"/>
    <w:rsid w:val="00FF2902"/>
    <w:rsid w:val="00FF75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717038"/>
  <w15:chartTrackingRefBased/>
  <w15:docId w15:val="{B971643C-F796-4E2C-909A-2A16465B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4D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4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DCF"/>
  </w:style>
  <w:style w:type="paragraph" w:styleId="Footer">
    <w:name w:val="footer"/>
    <w:basedOn w:val="Normal"/>
    <w:link w:val="FooterChar"/>
    <w:uiPriority w:val="99"/>
    <w:unhideWhenUsed/>
    <w:rsid w:val="00434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DCF"/>
  </w:style>
  <w:style w:type="character" w:styleId="Emphasis">
    <w:name w:val="Emphasis"/>
    <w:qFormat/>
    <w:rsid w:val="00434DCF"/>
    <w:rPr>
      <w:i/>
      <w:iCs/>
    </w:rPr>
  </w:style>
  <w:style w:type="character" w:customStyle="1" w:styleId="Headerorfooter">
    <w:name w:val="Header or footer"/>
    <w:uiPriority w:val="99"/>
    <w:rsid w:val="00434DCF"/>
    <w:rPr>
      <w:rFonts w:ascii="Tahoma" w:eastAsia="Tahoma" w:hAnsi="Tahoma" w:cs="Tahoma"/>
      <w:b/>
      <w:bCs/>
      <w:i w:val="0"/>
      <w:iCs w:val="0"/>
      <w:smallCaps w:val="0"/>
      <w:strike w:val="0"/>
      <w:color w:val="000000"/>
      <w:spacing w:val="0"/>
      <w:w w:val="100"/>
      <w:position w:val="0"/>
      <w:sz w:val="15"/>
      <w:szCs w:val="15"/>
      <w:u w:val="none"/>
      <w:lang w:val="bg-BG" w:eastAsia="bg-BG" w:bidi="bg-BG"/>
    </w:rPr>
  </w:style>
  <w:style w:type="paragraph" w:styleId="BalloonText">
    <w:name w:val="Balloon Text"/>
    <w:basedOn w:val="Normal"/>
    <w:link w:val="BalloonTextChar"/>
    <w:uiPriority w:val="99"/>
    <w:semiHidden/>
    <w:unhideWhenUsed/>
    <w:rsid w:val="007F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95"/>
    <w:rPr>
      <w:rFonts w:ascii="Segoe UI" w:hAnsi="Segoe UI" w:cs="Segoe UI"/>
      <w:sz w:val="18"/>
      <w:szCs w:val="18"/>
    </w:rPr>
  </w:style>
  <w:style w:type="table" w:styleId="TableGrid">
    <w:name w:val="Table Grid"/>
    <w:basedOn w:val="TableNormal"/>
    <w:uiPriority w:val="39"/>
    <w:rsid w:val="0042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basedOn w:val="DefaultParagraphFont"/>
    <w:link w:val="PlainText"/>
    <w:semiHidden/>
    <w:locked/>
    <w:rsid w:val="00BB560D"/>
    <w:rPr>
      <w:rFonts w:ascii="Courier New" w:hAnsi="Courier New" w:cs="Courier New"/>
      <w:lang w:val="x-none"/>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Знак Знак Зна Знак,Char Char,З"/>
    <w:basedOn w:val="Normal"/>
    <w:link w:val="PlainTextChar"/>
    <w:semiHidden/>
    <w:unhideWhenUsed/>
    <w:rsid w:val="00BB560D"/>
    <w:pPr>
      <w:spacing w:after="0" w:line="240" w:lineRule="auto"/>
    </w:pPr>
    <w:rPr>
      <w:rFonts w:ascii="Courier New" w:hAnsi="Courier New" w:cs="Courier New"/>
      <w:lang w:val="x-none"/>
    </w:rPr>
  </w:style>
  <w:style w:type="character" w:customStyle="1" w:styleId="PlainTextChar1">
    <w:name w:val="Plain Text Char1"/>
    <w:basedOn w:val="DefaultParagraphFont"/>
    <w:uiPriority w:val="99"/>
    <w:semiHidden/>
    <w:rsid w:val="00BB560D"/>
    <w:rPr>
      <w:rFonts w:ascii="Consolas" w:hAnsi="Consolas"/>
      <w:sz w:val="21"/>
      <w:szCs w:val="21"/>
    </w:rPr>
  </w:style>
  <w:style w:type="character" w:customStyle="1" w:styleId="Bodytext9">
    <w:name w:val="Body text (9)_"/>
    <w:link w:val="Bodytext90"/>
    <w:locked/>
    <w:rsid w:val="00BB560D"/>
    <w:rPr>
      <w:rFonts w:ascii="Tahoma" w:hAnsi="Tahoma" w:cs="Tahoma"/>
      <w:sz w:val="18"/>
      <w:szCs w:val="18"/>
      <w:shd w:val="clear" w:color="auto" w:fill="FFFFFF"/>
    </w:rPr>
  </w:style>
  <w:style w:type="paragraph" w:customStyle="1" w:styleId="Bodytext90">
    <w:name w:val="Body text (9)"/>
    <w:basedOn w:val="Normal"/>
    <w:link w:val="Bodytext9"/>
    <w:rsid w:val="00BB560D"/>
    <w:pPr>
      <w:shd w:val="clear" w:color="auto" w:fill="FFFFFF"/>
      <w:spacing w:after="180" w:line="245" w:lineRule="exact"/>
      <w:jc w:val="both"/>
    </w:pPr>
    <w:rPr>
      <w:rFonts w:ascii="Tahoma" w:hAnsi="Tahoma" w:cs="Tahoma"/>
      <w:sz w:val="18"/>
      <w:szCs w:val="18"/>
    </w:rPr>
  </w:style>
  <w:style w:type="paragraph" w:styleId="NoSpacing">
    <w:name w:val="No Spacing"/>
    <w:uiPriority w:val="1"/>
    <w:qFormat/>
    <w:rsid w:val="00DA649C"/>
    <w:pPr>
      <w:spacing w:after="0" w:line="240" w:lineRule="auto"/>
    </w:pPr>
  </w:style>
  <w:style w:type="paragraph" w:styleId="BodyText">
    <w:name w:val="Body Text"/>
    <w:basedOn w:val="Normal"/>
    <w:link w:val="BodyTextChar"/>
    <w:rsid w:val="002414A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414AF"/>
    <w:rPr>
      <w:rFonts w:ascii="Times New Roman" w:eastAsia="Times New Roman" w:hAnsi="Times New Roman" w:cs="Times New Roman"/>
      <w:sz w:val="24"/>
      <w:szCs w:val="20"/>
    </w:rPr>
  </w:style>
  <w:style w:type="character" w:customStyle="1" w:styleId="jlqj4b">
    <w:name w:val="jlqj4b"/>
    <w:basedOn w:val="DefaultParagraphFont"/>
    <w:rsid w:val="002414AF"/>
  </w:style>
  <w:style w:type="paragraph" w:customStyle="1" w:styleId="TableParagraph">
    <w:name w:val="Table Paragraph"/>
    <w:basedOn w:val="Normal"/>
    <w:uiPriority w:val="1"/>
    <w:qFormat/>
    <w:rsid w:val="002061F7"/>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D00218"/>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C0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9D49-1E45-47C4-B720-CE93AC71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Krastanov</dc:creator>
  <cp:keywords/>
  <dc:description/>
  <cp:lastModifiedBy>Donka Petrova</cp:lastModifiedBy>
  <cp:revision>22</cp:revision>
  <cp:lastPrinted>2024-02-08T09:46:00Z</cp:lastPrinted>
  <dcterms:created xsi:type="dcterms:W3CDTF">2024-02-06T12:35:00Z</dcterms:created>
  <dcterms:modified xsi:type="dcterms:W3CDTF">2024-04-15T10:22:00Z</dcterms:modified>
</cp:coreProperties>
</file>