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E0A" w:rsidRDefault="00C9720F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right" w:pos="9090"/>
        </w:tabs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                                                                            </w:t>
      </w:r>
    </w:p>
    <w:p w:rsidR="00CE2E0A" w:rsidRDefault="00C9720F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right" w:pos="9090"/>
        </w:tabs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                                                                                          </w:t>
      </w:r>
    </w:p>
    <w:p w:rsidR="00CE2E0A" w:rsidRDefault="00C9720F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>ЗАПОВЕД</w:t>
      </w:r>
    </w:p>
    <w:p w:rsidR="00CE2E0A" w:rsidRDefault="00CE2E0A">
      <w:pPr>
        <w:jc w:val="center"/>
        <w:rPr>
          <w:rFonts w:ascii="Verdana" w:eastAsia="Verdana" w:hAnsi="Verdana" w:cs="Verdana"/>
        </w:rPr>
      </w:pPr>
    </w:p>
    <w:p w:rsidR="00CE2E0A" w:rsidRPr="00053A4D" w:rsidRDefault="00C9720F">
      <w:pPr>
        <w:jc w:val="center"/>
        <w:rPr>
          <w:rFonts w:ascii="Verdana" w:eastAsia="Verdana" w:hAnsi="Verdana" w:cs="Verdana"/>
          <w:lang w:val="en-US"/>
        </w:rPr>
      </w:pPr>
      <w:r>
        <w:rPr>
          <w:rFonts w:ascii="Verdana" w:eastAsia="Verdana" w:hAnsi="Verdana" w:cs="Verdana"/>
          <w:b/>
        </w:rPr>
        <w:t xml:space="preserve">№ A </w:t>
      </w:r>
      <w:r w:rsidR="00053A4D">
        <w:rPr>
          <w:rFonts w:ascii="Verdana" w:eastAsia="Verdana" w:hAnsi="Verdana" w:cs="Verdana"/>
          <w:b/>
          <w:lang w:val="en-US"/>
        </w:rPr>
        <w:t>54</w:t>
      </w:r>
    </w:p>
    <w:p w:rsidR="00CE2E0A" w:rsidRDefault="00C9720F" w:rsidP="00127299">
      <w:pPr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 xml:space="preserve">София, </w:t>
      </w:r>
      <w:r w:rsidR="00053A4D">
        <w:rPr>
          <w:rFonts w:ascii="Verdana" w:eastAsia="Verdana" w:hAnsi="Verdana" w:cs="Verdana"/>
          <w:b/>
          <w:lang w:val="en-US"/>
        </w:rPr>
        <w:t>30.01</w:t>
      </w:r>
      <w:r>
        <w:rPr>
          <w:rFonts w:ascii="Verdana" w:eastAsia="Verdana" w:hAnsi="Verdana" w:cs="Verdana"/>
          <w:b/>
        </w:rPr>
        <w:t>.2024 г.</w:t>
      </w:r>
      <w:bookmarkStart w:id="0" w:name="_GoBack"/>
      <w:bookmarkEnd w:id="0"/>
    </w:p>
    <w:p w:rsidR="00CE2E0A" w:rsidRDefault="00CE2E0A"/>
    <w:p w:rsidR="00CE2E0A" w:rsidRDefault="00C9720F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 xml:space="preserve">                                    Орган за контрол по условията на труд от вид С </w:t>
      </w:r>
    </w:p>
    <w:p w:rsidR="00CE2E0A" w:rsidRDefault="00C9720F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 xml:space="preserve">                                        при „Елаците – мед ” АД, с. Мирково</w:t>
      </w:r>
    </w:p>
    <w:p w:rsidR="00CE2E0A" w:rsidRDefault="00CE2E0A">
      <w:pPr>
        <w:rPr>
          <w:rFonts w:ascii="Verdana" w:eastAsia="Verdana" w:hAnsi="Verdana" w:cs="Verdana"/>
        </w:rPr>
      </w:pPr>
    </w:p>
    <w:p w:rsidR="00CE2E0A" w:rsidRDefault="00C9720F">
      <w:pPr>
        <w:ind w:right="-141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 xml:space="preserve">                                                      Адрес на управление и на офис:</w:t>
      </w:r>
      <w:r>
        <w:rPr>
          <w:rFonts w:ascii="Verdana" w:eastAsia="Verdana" w:hAnsi="Verdana" w:cs="Verdana"/>
        </w:rPr>
        <w:t xml:space="preserve"> </w:t>
      </w:r>
    </w:p>
    <w:p w:rsidR="00CE2E0A" w:rsidRDefault="00C9720F">
      <w:pPr>
        <w:spacing w:line="252" w:lineRule="auto"/>
        <w:ind w:left="-27" w:right="-78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2086, с. Мирково, Софийска област</w:t>
      </w:r>
    </w:p>
    <w:p w:rsidR="00CE2E0A" w:rsidRDefault="00CE2E0A">
      <w:pPr>
        <w:rPr>
          <w:rFonts w:ascii="Verdana" w:eastAsia="Verdana" w:hAnsi="Verdana" w:cs="Verdana"/>
        </w:rPr>
      </w:pPr>
    </w:p>
    <w:p w:rsidR="00CE2E0A" w:rsidRDefault="00C9720F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Да извършва контрол, съгласно следния обхват: </w:t>
      </w:r>
    </w:p>
    <w:tbl>
      <w:tblPr>
        <w:tblStyle w:val="a"/>
        <w:tblW w:w="10587" w:type="dxa"/>
        <w:tblInd w:w="-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653"/>
        <w:gridCol w:w="1654"/>
        <w:gridCol w:w="2174"/>
        <w:gridCol w:w="21"/>
        <w:gridCol w:w="2058"/>
        <w:gridCol w:w="2492"/>
      </w:tblGrid>
      <w:tr w:rsidR="00CE2E0A">
        <w:trPr>
          <w:tblHeader/>
        </w:trPr>
        <w:tc>
          <w:tcPr>
            <w:tcW w:w="105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Тип обхват: гъвкав*</w:t>
            </w:r>
          </w:p>
        </w:tc>
      </w:tr>
      <w:tr w:rsidR="00CE2E0A">
        <w:trPr>
          <w:trHeight w:val="1661"/>
          <w:tblHeader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№ по ред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Област на контрол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Вид на контрола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ind w:right="-108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Контролиран параметър/</w:t>
            </w:r>
          </w:p>
          <w:p w:rsidR="00CE2E0A" w:rsidRDefault="00C9720F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характеристика: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Методи за изпитване/</w:t>
            </w:r>
          </w:p>
          <w:p w:rsidR="00CE2E0A" w:rsidRDefault="00C9720F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измерване използвани при контрол; процедура за контрол </w:t>
            </w:r>
          </w:p>
          <w:p w:rsidR="00CE2E0A" w:rsidRDefault="00CE2E0A">
            <w:pPr>
              <w:pStyle w:val="Heading1"/>
              <w:rPr>
                <w:rFonts w:ascii="Verdana" w:eastAsia="Verdana" w:hAnsi="Verdana" w:cs="Verdana"/>
                <w:b w:val="0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Нормативни актове, стандарти, спецификации, схеми за контрол</w:t>
            </w:r>
          </w:p>
        </w:tc>
      </w:tr>
      <w:tr w:rsidR="00CE2E0A">
        <w:trPr>
          <w:tblHeader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1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pStyle w:val="Heading1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3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4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pStyle w:val="Heading1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5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pStyle w:val="Heading1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6</w:t>
            </w:r>
          </w:p>
        </w:tc>
      </w:tr>
      <w:tr w:rsidR="00CE2E0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Микроклимат в работна и битова среда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 обекти /съоръжения/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Температура на въздуха;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Относителна влажност на въздуха</w:t>
            </w:r>
          </w:p>
          <w:p w:rsidR="00CE2E0A" w:rsidRDefault="00CE2E0A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Скорост на движение на въздуха.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ПК№ 1.1</w:t>
            </w:r>
          </w:p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ПК№ 1.2</w:t>
            </w:r>
          </w:p>
          <w:p w:rsidR="00CE2E0A" w:rsidRDefault="00C9720F">
            <w:pPr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ПК№ 1.3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РД-07-3 ДВ, бр.63/2014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БДС 16686 </w:t>
            </w:r>
          </w:p>
          <w:p w:rsidR="00CE2E0A" w:rsidRDefault="00CE2E0A">
            <w:pPr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</w:p>
          <w:p w:rsidR="00CE2E0A" w:rsidRDefault="00CE2E0A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РД-07-3 ДВ, бр.63/2014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9  ДВ, бр. 46/1994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24 ДВ, бр.95/2003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2 ДВ, бр.15/2007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14776</w:t>
            </w:r>
          </w:p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ТС</w:t>
            </w:r>
          </w:p>
        </w:tc>
      </w:tr>
      <w:tr w:rsidR="00CE2E0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2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Вентилационни инсталации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 обекти /съоръжения/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Скорост на движение на въздушен поток,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дебит на въздуха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ПК№ 9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12.3.018</w:t>
            </w:r>
          </w:p>
          <w:p w:rsidR="00CE2E0A" w:rsidRDefault="00CE2E0A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E2E0A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15 ДВ, бр.68/2005,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ТС</w:t>
            </w:r>
          </w:p>
        </w:tc>
      </w:tr>
      <w:tr w:rsidR="00CE2E0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Изкуствено осветление в работни помещения на жилищни и обществени сгради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 обекти /съоръжения/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Осветеност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ПК№ 2 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Методика за измерване на изкуствено осветление в сгради от сборник методи за хигиенни изисквания том IV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9 ДВ, бр. 46/1994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Наредба № 24 ДВ, бр. 95/2003 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Наредба № 49 ДВ, бр. 7/1976 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EN 12464-1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ТС</w:t>
            </w:r>
          </w:p>
        </w:tc>
      </w:tr>
      <w:tr w:rsidR="00CE2E0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Шум в работна среда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 обекти /съоръжения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Ниво на шум, 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Еквивалентно ниво на шум,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Дневно ниво на експозицията на шум, 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Средно седмично ниво на експозицията на шум, 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Върхово ниво на звуково налягане, 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ПК№ 3.1 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EN ISO 9612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/БДС ISO 1999/</w:t>
            </w:r>
          </w:p>
          <w:p w:rsidR="00CE2E0A" w:rsidRDefault="00CE2E0A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Pr="007F5F0C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Наредба № 6 ДВ, бр. </w:t>
            </w:r>
            <w:r w:rsidRPr="007F5F0C">
              <w:rPr>
                <w:rFonts w:ascii="Verdana" w:eastAsia="Verdana" w:hAnsi="Verdana" w:cs="Verdana"/>
                <w:sz w:val="18"/>
                <w:szCs w:val="18"/>
              </w:rPr>
              <w:t>70/2005</w:t>
            </w:r>
          </w:p>
          <w:p w:rsidR="00CE2E0A" w:rsidRPr="007F5F0C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Наредба № 2 ДВ, бр. 15/2007</w:t>
            </w:r>
          </w:p>
          <w:p w:rsidR="00CE2E0A" w:rsidRPr="007F5F0C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Наредба № 24 ДВ, бр. 95/2003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ТС</w:t>
            </w:r>
          </w:p>
        </w:tc>
      </w:tr>
      <w:tr w:rsidR="00CE2E0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Шум в помещения на жилищни и обществени </w:t>
            </w:r>
            <w:r>
              <w:rPr>
                <w:rFonts w:ascii="Verdana" w:eastAsia="Verdana" w:hAnsi="Verdana" w:cs="Verdana"/>
                <w:sz w:val="18"/>
                <w:szCs w:val="18"/>
              </w:rPr>
              <w:lastRenderedPageBreak/>
              <w:t>сгради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lastRenderedPageBreak/>
              <w:t>Нови и/или в експлоатация обекти /съоръжения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Ниво на шум, 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lastRenderedPageBreak/>
              <w:t>Еквивалентно ниво на шум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lastRenderedPageBreak/>
              <w:t xml:space="preserve">ПК№ 3.2 </w:t>
            </w:r>
          </w:p>
          <w:p w:rsidR="00CE2E0A" w:rsidRDefault="00C97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БДС 15471</w:t>
            </w:r>
          </w:p>
          <w:p w:rsidR="00CE2E0A" w:rsidRDefault="00CE2E0A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Наредба №  6 ДВ, бр. 58/2006,приложение 2,табл.1 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lastRenderedPageBreak/>
              <w:t>Наредба № 2 ДВ, бр. 15/2007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24 ДВ, бр. 95/2003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ТС</w:t>
            </w:r>
          </w:p>
        </w:tc>
      </w:tr>
      <w:tr w:rsidR="00CE2E0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6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Шум в околна среда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/В различните територии и устройствени зони в урбанизираните територии и извън тях/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 обекти /съоръжения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Ниво на шум, 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Еквивалентно ниво на шум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ПК№ 3.2</w:t>
            </w:r>
          </w:p>
          <w:p w:rsidR="00CE2E0A" w:rsidRDefault="00C97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БДС 15471</w:t>
            </w:r>
          </w:p>
          <w:p w:rsidR="00CE2E0A" w:rsidRDefault="00CE2E0A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Наредба №  6 ДВ, бр. 58/2006,приложение 2,табл.2 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ТС</w:t>
            </w:r>
          </w:p>
        </w:tc>
      </w:tr>
      <w:tr w:rsidR="00CE2E0A">
        <w:trPr>
          <w:trHeight w:val="150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7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Вибрации предавани на системата „ръка-рамо”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 обекти /съоръжения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ind w:firstLine="975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Дневна стойност на експозиция на вибрации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ПК№ 4 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ЕN ISO 5349-1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ЕN ISO 5349-2/А1</w:t>
            </w:r>
          </w:p>
          <w:p w:rsidR="00CE2E0A" w:rsidRDefault="00CE2E0A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№3 ДВ, бр.40/2005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ТС</w:t>
            </w:r>
          </w:p>
        </w:tc>
      </w:tr>
      <w:tr w:rsidR="00CE2E0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8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Въздух на работната среда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 обекти /съоръжения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Концентрация на прах във въздуха на работна среда: - инхалабилна фракция</w:t>
            </w:r>
          </w:p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-респирабилна фракция</w:t>
            </w:r>
          </w:p>
          <w:p w:rsidR="00CE2E0A" w:rsidRDefault="00CE2E0A">
            <w:pPr>
              <w:ind w:left="125" w:hanging="125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ind w:left="125" w:hanging="125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Свободен</w:t>
            </w:r>
          </w:p>
          <w:p w:rsidR="00CE2E0A" w:rsidRDefault="00C9720F">
            <w:pPr>
              <w:ind w:left="125" w:hanging="125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кристален</w:t>
            </w:r>
          </w:p>
          <w:p w:rsidR="00CE2E0A" w:rsidRDefault="00C9720F">
            <w:pPr>
              <w:ind w:left="125" w:hanging="125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силициев диоксид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ПК№ 5.1 </w:t>
            </w:r>
          </w:p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ПК№5.2 </w:t>
            </w:r>
          </w:p>
          <w:p w:rsidR="00CE2E0A" w:rsidRPr="007F5F0C" w:rsidRDefault="00CE2E0A">
            <w:pPr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Pr="007F5F0C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БДС EN 689+AC</w:t>
            </w:r>
          </w:p>
          <w:p w:rsidR="00CE2E0A" w:rsidRPr="007F5F0C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БДС ЕN 482</w:t>
            </w:r>
          </w:p>
          <w:p w:rsidR="00CE2E0A" w:rsidRPr="007F5F0C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БДС ЕN 481</w:t>
            </w:r>
          </w:p>
          <w:p w:rsidR="00CE2E0A" w:rsidRPr="007F5F0C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БДС 2200</w:t>
            </w:r>
          </w:p>
          <w:p w:rsidR="00CE2E0A" w:rsidRPr="007F5F0C" w:rsidRDefault="00CE2E0A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Pr="007F5F0C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ПК№ 6.3</w:t>
            </w:r>
          </w:p>
          <w:p w:rsidR="00CE2E0A" w:rsidRPr="007F5F0C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БДС EN 689+AC</w:t>
            </w:r>
          </w:p>
          <w:p w:rsidR="00CE2E0A" w:rsidRPr="007F5F0C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БДС ЕN 482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БДС ЕN 481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2200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2280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E2E0A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E2E0A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№13 ,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ДВ. бр. 8 /2004, </w:t>
            </w:r>
          </w:p>
        </w:tc>
      </w:tr>
      <w:tr w:rsidR="00CE2E0A">
        <w:trPr>
          <w:trHeight w:val="202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9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Въздуха на работна среда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обекти /съоръжения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Концентрация на химични агенти чрез</w:t>
            </w:r>
          </w:p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линейно-колориметричен метод  с индикаторни тръбички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ПК№ 6.1 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ЕN 689+AC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ЕN 482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ЕN 17621</w:t>
            </w:r>
          </w:p>
          <w:p w:rsidR="00CE2E0A" w:rsidRDefault="00CE2E0A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E2E0A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Default="00CE2E0A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E2E0A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E2E0A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№13 ,</w:t>
            </w:r>
          </w:p>
          <w:p w:rsidR="00CE2E0A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ДВ. бр. 8 /2004,</w:t>
            </w:r>
          </w:p>
        </w:tc>
      </w:tr>
      <w:tr w:rsidR="00CE2E0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10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Водоснабдител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ни и канализационни системи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обекти /съоръжения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Наличие на документи и съоръжения</w:t>
            </w:r>
          </w:p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Концентрация на химични агенти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Pr="007F5F0C" w:rsidRDefault="00C9720F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ПК№ 7</w:t>
            </w:r>
          </w:p>
          <w:p w:rsidR="00CE2E0A" w:rsidRPr="007F5F0C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БДС ЕN 689+AC</w:t>
            </w:r>
          </w:p>
          <w:p w:rsidR="00CE2E0A" w:rsidRPr="007F5F0C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БДС ЕN 482</w:t>
            </w:r>
          </w:p>
          <w:p w:rsidR="00CE2E0A" w:rsidRPr="007F5F0C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БДС ЕN 17621</w:t>
            </w:r>
          </w:p>
          <w:p w:rsidR="00CE2E0A" w:rsidRPr="007F5F0C" w:rsidRDefault="00CE2E0A">
            <w:pPr>
              <w:widowControl w:val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Pr="007F5F0C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 xml:space="preserve">Наредба 9 ДВ бр.93 /2004  </w:t>
            </w:r>
          </w:p>
          <w:p w:rsidR="00CE2E0A" w:rsidRPr="007F5F0C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Наредба №13 ,</w:t>
            </w:r>
          </w:p>
          <w:p w:rsidR="00CE2E0A" w:rsidRPr="007F5F0C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ДВ. бр. 8 /2004,</w:t>
            </w:r>
          </w:p>
          <w:p w:rsidR="00CE2E0A" w:rsidRPr="007F5F0C" w:rsidRDefault="00C9720F">
            <w:pPr>
              <w:shd w:val="clear" w:color="auto" w:fill="FFFFFF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 xml:space="preserve">ТС </w:t>
            </w:r>
          </w:p>
        </w:tc>
      </w:tr>
      <w:tr w:rsidR="00CE2E0A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11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Йонизиращи лъчения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 обекти /съоръжения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Мощност на еквивалентната доза Н*(10)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Pr="007F5F0C" w:rsidRDefault="00C9720F">
            <w:pPr>
              <w:widowControl w:val="0"/>
              <w:ind w:left="5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>ПК№ 8</w:t>
            </w:r>
          </w:p>
          <w:p w:rsidR="00CE2E0A" w:rsidRPr="007F5F0C" w:rsidRDefault="00CE2E0A">
            <w:pPr>
              <w:widowControl w:val="0"/>
              <w:ind w:left="5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Pr="007F5F0C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 xml:space="preserve">Наредба за радиационна защита ДВ бр. 16/ 20.02.2018г.  </w:t>
            </w:r>
          </w:p>
          <w:p w:rsidR="00CE2E0A" w:rsidRPr="007F5F0C" w:rsidRDefault="00CE2E0A">
            <w:pPr>
              <w:widowControl w:val="0"/>
              <w:ind w:left="5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:rsidR="00CE2E0A" w:rsidRPr="007F5F0C" w:rsidRDefault="00C9720F">
            <w:pPr>
              <w:widowControl w:val="0"/>
              <w:ind w:left="57"/>
              <w:rPr>
                <w:rFonts w:ascii="Verdana" w:eastAsia="Verdana" w:hAnsi="Verdana" w:cs="Verdana"/>
                <w:sz w:val="18"/>
                <w:szCs w:val="18"/>
              </w:rPr>
            </w:pPr>
            <w:r w:rsidRPr="007F5F0C">
              <w:rPr>
                <w:rFonts w:ascii="Verdana" w:eastAsia="Verdana" w:hAnsi="Verdana" w:cs="Verdana"/>
                <w:sz w:val="18"/>
                <w:szCs w:val="18"/>
              </w:rPr>
              <w:t xml:space="preserve">Наредба за радиационна защита ДВ бр. 16/20.02.2018г.  </w:t>
            </w:r>
          </w:p>
          <w:p w:rsidR="00CE2E0A" w:rsidRPr="007F5F0C" w:rsidRDefault="00CE2E0A">
            <w:pPr>
              <w:widowControl w:val="0"/>
              <w:ind w:left="57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CE2E0A">
        <w:trPr>
          <w:cantSplit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lastRenderedPageBreak/>
              <w:t>12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Електрически уредби и съоръжения с напрежение до 1000V</w:t>
            </w:r>
          </w:p>
        </w:tc>
        <w:tc>
          <w:tcPr>
            <w:tcW w:w="16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 обекти /съоръжения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Импеданс на контура “фаза –защитен проводник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ПК№ 10.1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Наредба 3 ДВ бр. 90 и 91/2004 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16-116 ДВ бр.26/ 07.03.2008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ТС </w:t>
            </w:r>
          </w:p>
        </w:tc>
      </w:tr>
      <w:tr w:rsidR="00CE2E0A">
        <w:trPr>
          <w:cantSplit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6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Съпротивление на изолация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ПК№ 11.1 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БДС 1986 т.3.3 а,б,д и е</w:t>
            </w:r>
          </w:p>
          <w:p w:rsidR="00CE2E0A" w:rsidRDefault="00CE2E0A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Наредба 3 ДВ бр. 90 и 91/2004 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16-116 ДВ бр.26/ 07.03.2008,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1 ДВ, бр. 46/2010 г.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ТС</w:t>
            </w:r>
          </w:p>
        </w:tc>
      </w:tr>
      <w:tr w:rsidR="00CE2E0A">
        <w:trPr>
          <w:cantSplit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</w:p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</w:p>
        </w:tc>
        <w:tc>
          <w:tcPr>
            <w:tcW w:w="16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Защитни прекъсвачи ЗП 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-ток на задействане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-време на изключване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-допирно напрежение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ПК</w:t>
            </w:r>
            <w:r w:rsidRPr="007F5F0C">
              <w:rPr>
                <w:rFonts w:ascii="Verdana" w:eastAsia="Verdana" w:hAnsi="Verdana" w:cs="Verdana"/>
                <w:sz w:val="18"/>
                <w:szCs w:val="18"/>
              </w:rPr>
              <w:t>№ 12.1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Наредба 3 ДВ бр. 90 и 91/2004 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16-116 ДВ бр.26/ 07.03.2008.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1 ДВ, бр. 46/2010 г.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color w:val="FF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ТС</w:t>
            </w:r>
          </w:p>
        </w:tc>
      </w:tr>
      <w:tr w:rsidR="00CE2E0A">
        <w:trPr>
          <w:cantSplit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ind w:left="57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13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Електрически уредби и съоръжения до 1000V и над 1000V </w:t>
            </w:r>
          </w:p>
        </w:tc>
        <w:tc>
          <w:tcPr>
            <w:tcW w:w="16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Нови и/или в експлоатация обекти съоръжения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Съпротивление на мълниезащитни заземителни уредби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ПК№ 13.1 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№ 4 ДВ. бр. 6 / 2011</w:t>
            </w:r>
          </w:p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ТС</w:t>
            </w:r>
            <w:r>
              <w:rPr>
                <w:rFonts w:ascii="Verdana" w:eastAsia="Verdana" w:hAnsi="Verdana" w:cs="Verdana"/>
                <w:color w:val="FF0000"/>
                <w:sz w:val="18"/>
                <w:szCs w:val="18"/>
              </w:rPr>
              <w:t xml:space="preserve">  </w:t>
            </w:r>
          </w:p>
        </w:tc>
      </w:tr>
      <w:tr w:rsidR="00CE2E0A">
        <w:trPr>
          <w:cantSplit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16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E2E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Съпротивление на защитни заземителни уредби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ПК№13.2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  <w:vAlign w:val="center"/>
          </w:tcPr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Наредба 3 ДВ бр. 90 и 91/2004 </w:t>
            </w:r>
          </w:p>
          <w:p w:rsidR="00CE2E0A" w:rsidRDefault="00C9720F">
            <w:pPr>
              <w:widowControl w:val="0"/>
              <w:tabs>
                <w:tab w:val="left" w:pos="586"/>
              </w:tabs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Наредба 16-116 ДВ бр.26/2008,</w:t>
            </w:r>
          </w:p>
          <w:p w:rsidR="00CE2E0A" w:rsidRDefault="00C9720F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ТС</w:t>
            </w:r>
          </w:p>
        </w:tc>
      </w:tr>
    </w:tbl>
    <w:p w:rsidR="00CE2E0A" w:rsidRDefault="00C9720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  <w:vertAlign w:val="superscript"/>
        </w:rPr>
        <w:t>*</w:t>
      </w:r>
      <w:r>
        <w:rPr>
          <w:rFonts w:ascii="Verdana" w:eastAsia="Verdana" w:hAnsi="Verdana" w:cs="Verdana"/>
          <w:i/>
          <w:color w:val="000000"/>
        </w:rPr>
        <w:t>Въвеждането на нова версия на стандарти/документи или стандарти/документи, които ги заменят е разрешено. Актуален списък на стандартите/документите с техните датирани версии се предоставя от ОСС.</w:t>
      </w:r>
    </w:p>
    <w:p w:rsidR="00CE2E0A" w:rsidRDefault="00CE2E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N9 РД-07-3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(ДВ, бр.63/2014 г.) за минималните изисквания за микроклимата на работните места;</w:t>
      </w:r>
    </w:p>
    <w:p w:rsidR="00CE2E0A" w:rsidRDefault="00CE2E0A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</w:p>
    <w:p w:rsidR="00CE2E0A" w:rsidRDefault="00CE2E0A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</w:p>
    <w:p w:rsidR="00CE2E0A" w:rsidRDefault="00CE2E0A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3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за устройството на електрическите уредби и електропроводните линии, (ДВ. бр. 90 и бр. 91/2004,. Изм. ДВ бр, 42/2015.);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16-116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за техническата експлоатация на енергообзавеждането, (ДВ. бр. 26/2008г., изм ДВ бр. 42/2015);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 w:hanging="1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4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за мълниезащитата на сгради, външни съоръжения и открити пространства     (ДВ. бр. 6/2011г.);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1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от 27 май 2010 г. за проектиране, изграждане и поддържане на електрически уредби за ниско напрежение в сгради (ДВ, бр. 46, 2010 г.);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9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(ДВ, бр. 4б/1994г.) за здравно - хигиенните изисквания при използването на персонални компютри в обучението и извънучебните дейности на учениците;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24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за санитарно-хигиенните изисквания за дискотеките (ДВ, бр. 95/2003г);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15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от 28 юли 2005 г. за технически правила и нормативи за проектиране, изграждане и експлоатация на обектите и съоръженията за производство, пренос и разпределение на топлинна енергия (ДВ, бр. 68/2005г., изм. ДВ бр. 6/2016);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2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(ДВ, бр. 15/2007г.) към компютърните и интернет зали за обществено ползване;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49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за изкуствено осветление на сградите (ДВ, бр. 7/1979г., изм. ДВ бр. 64/1976);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6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(ДВ, бр. 70/2005 г.) за минималните изисквания за осигуряване на здравето и безопасността на работещите при рискове, свързани с експозиция на шум;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jc w:val="both"/>
        <w:rPr>
          <w:rFonts w:ascii="Verdana" w:eastAsia="Verdana" w:hAnsi="Verdana" w:cs="Verdana"/>
          <w:color w:val="000000"/>
          <w:sz w:val="18"/>
          <w:szCs w:val="18"/>
          <w:u w:val="single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6 от 2006 г.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(ДВ. бр.58 от 18 Юли 2006г.) за показателите за шум в околната среда, отчитащи степента на дискомфорт през различните части на денонощието, граничните стойности на показателите </w:t>
      </w:r>
      <w:r>
        <w:rPr>
          <w:rFonts w:ascii="Verdana" w:eastAsia="Verdana" w:hAnsi="Verdana" w:cs="Verdana"/>
          <w:color w:val="000000"/>
          <w:sz w:val="18"/>
          <w:szCs w:val="18"/>
        </w:rPr>
        <w:lastRenderedPageBreak/>
        <w:t>за шум в околната среда, в помещенията на жилищни и обществени сгради, в зони и територии, предназначени за жилищно строителство, рекреационни зони и територии и зони със смесено предназначение, методите за оценка на стойностите на показателите за шум и на вредните ефекти от шума върху здравето на населението (загл. изм. - дв, бр. 100 от 2021 г.);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№ 13</w:t>
      </w:r>
      <w:r>
        <w:rPr>
          <w:rFonts w:ascii="Verdana" w:eastAsia="Verdana" w:hAnsi="Verdana" w:cs="Verdana"/>
          <w:color w:val="000000"/>
          <w:sz w:val="18"/>
          <w:szCs w:val="18"/>
        </w:rPr>
        <w:t>, от 30 декември 2003 г. за защита на работещите от рискове, свързани с експозиция на химични агенти при работа (ДВ, бр. 8/2004 г.);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 xml:space="preserve">Наредба №9 </w:t>
      </w:r>
      <w:r>
        <w:rPr>
          <w:rFonts w:ascii="Verdana" w:eastAsia="Verdana" w:hAnsi="Verdana" w:cs="Verdana"/>
          <w:color w:val="000000"/>
          <w:sz w:val="18"/>
          <w:szCs w:val="18"/>
        </w:rPr>
        <w:t>за осигуряване на здравословни и безопасни условия на труд при експлоатация и поддържане на водоснабдителни и канализационни системи (ДВ, бр. 93/2004);</w:t>
      </w:r>
    </w:p>
    <w:p w:rsidR="00CE2E0A" w:rsidRPr="007F5F0C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Наредба N 3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за минималните изисквания за осигуряване на здравето и безопасността на работещите при </w:t>
      </w:r>
      <w:r w:rsidRPr="007F5F0C">
        <w:rPr>
          <w:rFonts w:ascii="Verdana" w:eastAsia="Verdana" w:hAnsi="Verdana" w:cs="Verdana"/>
          <w:sz w:val="18"/>
          <w:szCs w:val="18"/>
        </w:rPr>
        <w:t>рискове, свързани с експозиция на вибрации (ДВ бр. 40/2005 г);</w:t>
      </w:r>
    </w:p>
    <w:p w:rsidR="00CE2E0A" w:rsidRDefault="00C9720F">
      <w:pPr>
        <w:widowControl w:val="0"/>
        <w:ind w:left="57"/>
        <w:jc w:val="both"/>
        <w:rPr>
          <w:rFonts w:ascii="Verdana" w:eastAsia="Verdana" w:hAnsi="Verdana" w:cs="Verdana"/>
          <w:sz w:val="18"/>
          <w:szCs w:val="18"/>
        </w:rPr>
      </w:pPr>
      <w:r w:rsidRPr="007F5F0C">
        <w:rPr>
          <w:rFonts w:ascii="Verdana" w:eastAsia="Verdana" w:hAnsi="Verdana" w:cs="Verdana"/>
          <w:sz w:val="18"/>
          <w:szCs w:val="18"/>
        </w:rPr>
        <w:t xml:space="preserve"> Наредба за радиационна защита </w:t>
      </w:r>
      <w:r>
        <w:rPr>
          <w:rFonts w:ascii="Verdana" w:eastAsia="Verdana" w:hAnsi="Verdana" w:cs="Verdana"/>
          <w:sz w:val="18"/>
          <w:szCs w:val="18"/>
        </w:rPr>
        <w:t xml:space="preserve">ДВ бр. 16 от 20.02.2018г.  </w:t>
      </w:r>
    </w:p>
    <w:p w:rsidR="00CE2E0A" w:rsidRDefault="00C9720F">
      <w:pPr>
        <w:widowControl w:val="0"/>
        <w:pBdr>
          <w:top w:val="nil"/>
          <w:left w:val="nil"/>
          <w:bottom w:val="nil"/>
          <w:right w:val="nil"/>
          <w:between w:val="nil"/>
        </w:pBdr>
        <w:ind w:left="140" w:firstLine="2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ТС-Техническа спецификация.</w:t>
      </w:r>
    </w:p>
    <w:p w:rsidR="00CE2E0A" w:rsidRDefault="00CE2E0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</w:rPr>
      </w:pPr>
    </w:p>
    <w:p w:rsidR="00CE2E0A" w:rsidRDefault="00CE2E0A">
      <w:pPr>
        <w:numPr>
          <w:ilvl w:val="0"/>
          <w:numId w:val="1"/>
        </w:numPr>
        <w:jc w:val="both"/>
        <w:rPr>
          <w:rFonts w:ascii="Verdana" w:eastAsia="Verdana" w:hAnsi="Verdana" w:cs="Verdana"/>
          <w:sz w:val="16"/>
          <w:szCs w:val="16"/>
        </w:rPr>
      </w:pPr>
    </w:p>
    <w:p w:rsidR="00CE2E0A" w:rsidRDefault="00CE2E0A">
      <w:pPr>
        <w:rPr>
          <w:rFonts w:ascii="Verdana" w:eastAsia="Verdana" w:hAnsi="Verdana" w:cs="Verdana"/>
          <w:u w:val="single"/>
        </w:rPr>
      </w:pPr>
    </w:p>
    <w:p w:rsidR="00CE2E0A" w:rsidRDefault="00CE2E0A">
      <w:pPr>
        <w:rPr>
          <w:rFonts w:ascii="Verdana" w:eastAsia="Verdana" w:hAnsi="Verdana" w:cs="Verdana"/>
        </w:rPr>
      </w:pPr>
    </w:p>
    <w:sectPr w:rsidR="00CE2E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900" w:right="477" w:bottom="567" w:left="1350" w:header="1247" w:footer="32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BBD" w:rsidRDefault="00C9720F">
      <w:r>
        <w:separator/>
      </w:r>
    </w:p>
  </w:endnote>
  <w:endnote w:type="continuationSeparator" w:id="0">
    <w:p w:rsidR="001D0BBD" w:rsidRDefault="00C9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E0A" w:rsidRDefault="00CE2E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E0A" w:rsidRDefault="00CE2E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E0A" w:rsidRDefault="00CE2E0A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072"/>
      </w:tabs>
      <w:rPr>
        <w:rFonts w:ascii="Verdana" w:eastAsia="Verdana" w:hAnsi="Verdana" w:cs="Verdana"/>
        <w:color w:val="000000"/>
        <w:sz w:val="16"/>
        <w:szCs w:val="16"/>
      </w:rPr>
    </w:pPr>
  </w:p>
  <w:p w:rsidR="00CE2E0A" w:rsidRDefault="00CE2E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7230"/>
        <w:tab w:val="left" w:pos="7655"/>
      </w:tabs>
      <w:spacing w:line="216" w:lineRule="auto"/>
      <w:ind w:left="-851" w:right="-285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BBD" w:rsidRDefault="00C9720F">
      <w:r>
        <w:separator/>
      </w:r>
    </w:p>
  </w:footnote>
  <w:footnote w:type="continuationSeparator" w:id="0">
    <w:p w:rsidR="001D0BBD" w:rsidRDefault="00C97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E0A" w:rsidRDefault="00CE2E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E0A" w:rsidRDefault="00CE2E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E0A" w:rsidRDefault="00CE2E0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670FA"/>
    <w:multiLevelType w:val="multilevel"/>
    <w:tmpl w:val="FE84B86C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E0A"/>
    <w:rsid w:val="00053A4D"/>
    <w:rsid w:val="00127299"/>
    <w:rsid w:val="001D0BBD"/>
    <w:rsid w:val="007F5F0C"/>
    <w:rsid w:val="00C9720F"/>
    <w:rsid w:val="00CE2E0A"/>
    <w:rsid w:val="00D6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06B9E"/>
  <w15:docId w15:val="{C034D9F8-4205-44D1-9E43-3EE869FE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rFonts w:ascii="Bookman Old Style" w:eastAsia="Bookman Old Style" w:hAnsi="Bookman Old Style" w:cs="Bookman Old Style"/>
      <w:b/>
      <w:sz w:val="24"/>
      <w:szCs w:val="24"/>
    </w:rPr>
  </w:style>
  <w:style w:type="paragraph" w:styleId="Heading2">
    <w:name w:val="heading 2"/>
    <w:basedOn w:val="Normal"/>
    <w:next w:val="Normal"/>
    <w:pPr>
      <w:keepNext/>
      <w:jc w:val="right"/>
      <w:outlineLvl w:val="1"/>
    </w:pPr>
    <w:rPr>
      <w:rFonts w:ascii="Times New Roman" w:eastAsia="Times New Roman" w:hAnsi="Times New Roman" w:cs="Times New Roman"/>
      <w:u w:val="single"/>
    </w:rPr>
  </w:style>
  <w:style w:type="paragraph" w:styleId="Heading3">
    <w:name w:val="heading 3"/>
    <w:basedOn w:val="Normal"/>
    <w:next w:val="Normal"/>
    <w:pPr>
      <w:keepNext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1132</Words>
  <Characters>6458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Liliya Anastasova</dc:creator>
  <cp:lastModifiedBy>Simona Petkova</cp:lastModifiedBy>
  <cp:revision>4</cp:revision>
  <dcterms:created xsi:type="dcterms:W3CDTF">2024-02-02T14:42:00Z</dcterms:created>
  <dcterms:modified xsi:type="dcterms:W3CDTF">2024-02-02T14:43:00Z</dcterms:modified>
</cp:coreProperties>
</file>