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78F80" w14:textId="6C5AE81B" w:rsidR="00EA3193" w:rsidRPr="0040528E" w:rsidRDefault="0040528E" w:rsidP="00831701">
      <w:pPr>
        <w:spacing w:line="480" w:lineRule="auto"/>
        <w:jc w:val="center"/>
        <w:rPr>
          <w:rFonts w:ascii="Verdana" w:hAnsi="Verdana"/>
          <w:b/>
          <w:bCs/>
        </w:rPr>
      </w:pPr>
      <w:r>
        <w:rPr>
          <w:rFonts w:ascii="Verdana" w:hAnsi="Verdana"/>
          <w:b/>
          <w:bCs/>
        </w:rPr>
        <w:t xml:space="preserve">SCOPE 236 </w:t>
      </w:r>
      <w:r>
        <w:rPr>
          <w:rFonts w:ascii="Verdana" w:hAnsi="Verdana"/>
          <w:b/>
          <w:bCs/>
          <w:lang w:val="bg-BG"/>
        </w:rPr>
        <w:t>ЛИ</w:t>
      </w:r>
    </w:p>
    <w:p w14:paraId="7F28F569" w14:textId="0A7F0DBB" w:rsidR="005903A8" w:rsidRPr="007D3B38" w:rsidRDefault="003373FF" w:rsidP="00831701">
      <w:pPr>
        <w:spacing w:line="480" w:lineRule="auto"/>
        <w:jc w:val="center"/>
        <w:rPr>
          <w:rFonts w:ascii="Verdana" w:hAnsi="Verdana"/>
          <w:b/>
          <w:bCs/>
          <w:lang w:val="bg-BG"/>
        </w:rPr>
      </w:pPr>
      <w:r>
        <w:rPr>
          <w:rFonts w:ascii="Verdana" w:hAnsi="Verdana"/>
          <w:b/>
          <w:bCs/>
        </w:rPr>
        <w:t>Sofia</w:t>
      </w:r>
      <w:r w:rsidR="005903A8" w:rsidRPr="00473253">
        <w:rPr>
          <w:rFonts w:ascii="Verdana" w:hAnsi="Verdana"/>
          <w:b/>
          <w:bCs/>
        </w:rPr>
        <w:t xml:space="preserve">, </w:t>
      </w:r>
      <w:r w:rsidR="004F7EB3">
        <w:rPr>
          <w:rFonts w:ascii="Verdana" w:hAnsi="Verdana"/>
          <w:b/>
          <w:bCs/>
        </w:rPr>
        <w:t>3</w:t>
      </w:r>
      <w:r w:rsidR="00FF37B5">
        <w:rPr>
          <w:rFonts w:ascii="Verdana" w:hAnsi="Verdana"/>
          <w:b/>
          <w:bCs/>
        </w:rPr>
        <w:t>1</w:t>
      </w:r>
      <w:r w:rsidR="00C47D0E">
        <w:rPr>
          <w:rFonts w:ascii="Verdana" w:hAnsi="Verdana"/>
          <w:b/>
          <w:bCs/>
          <w:lang w:val="bg-BG"/>
        </w:rPr>
        <w:t>.</w:t>
      </w:r>
      <w:r w:rsidR="00FF37B5">
        <w:rPr>
          <w:rFonts w:ascii="Verdana" w:hAnsi="Verdana"/>
          <w:b/>
          <w:bCs/>
        </w:rPr>
        <w:t>1</w:t>
      </w:r>
      <w:r w:rsidR="004F7EB3">
        <w:rPr>
          <w:rFonts w:ascii="Verdana" w:hAnsi="Verdana"/>
          <w:b/>
          <w:bCs/>
        </w:rPr>
        <w:t>0</w:t>
      </w:r>
      <w:r w:rsidR="00C47D0E">
        <w:rPr>
          <w:rFonts w:ascii="Verdana" w:hAnsi="Verdana"/>
          <w:b/>
          <w:bCs/>
          <w:lang w:val="bg-BG"/>
        </w:rPr>
        <w:t>.202</w:t>
      </w:r>
      <w:r w:rsidR="007D3B38">
        <w:rPr>
          <w:rFonts w:ascii="Verdana" w:hAnsi="Verdana"/>
          <w:b/>
          <w:bCs/>
          <w:lang w:val="bg-BG"/>
        </w:rPr>
        <w:t>5</w:t>
      </w:r>
    </w:p>
    <w:p w14:paraId="2202C07E" w14:textId="77777777" w:rsidR="0025420C" w:rsidRPr="00843BA4" w:rsidRDefault="0025420C" w:rsidP="00323992">
      <w:pPr>
        <w:spacing w:line="276" w:lineRule="auto"/>
        <w:ind w:left="284" w:right="113"/>
        <w:jc w:val="center"/>
        <w:rPr>
          <w:rFonts w:ascii="Verdana" w:hAnsi="Verdana" w:cs="Arial"/>
          <w:b/>
          <w:sz w:val="22"/>
          <w:szCs w:val="22"/>
        </w:rPr>
      </w:pPr>
      <w:r w:rsidRPr="00843BA4">
        <w:rPr>
          <w:rFonts w:ascii="Verdana" w:hAnsi="Verdana" w:cs="Arial"/>
          <w:b/>
        </w:rPr>
        <w:t>PATINJ</w:t>
      </w:r>
      <w:r>
        <w:rPr>
          <w:rFonts w:ascii="Verdana" w:hAnsi="Verdana" w:cs="Arial"/>
          <w:b/>
        </w:rPr>
        <w:t>E</w:t>
      </w:r>
      <w:r w:rsidRPr="00843BA4">
        <w:rPr>
          <w:rFonts w:ascii="Verdana" w:hAnsi="Verdana" w:cs="Arial"/>
          <w:b/>
        </w:rPr>
        <w:t>NERING AD</w:t>
      </w:r>
    </w:p>
    <w:p w14:paraId="5E9F5B51" w14:textId="77777777" w:rsidR="0025420C" w:rsidRPr="00843BA4" w:rsidRDefault="0025420C" w:rsidP="00323992">
      <w:pPr>
        <w:ind w:left="284" w:right="113"/>
        <w:jc w:val="center"/>
        <w:rPr>
          <w:rFonts w:ascii="Verdana" w:hAnsi="Verdana" w:cs="Arial"/>
          <w:b/>
          <w:sz w:val="22"/>
          <w:szCs w:val="22"/>
        </w:rPr>
      </w:pPr>
      <w:r w:rsidRPr="00843BA4">
        <w:rPr>
          <w:rFonts w:ascii="Verdana" w:hAnsi="Verdana" w:cs="Arial"/>
          <w:b/>
        </w:rPr>
        <w:t>ROAD CONSTRUCTION LABORATORY</w:t>
      </w:r>
    </w:p>
    <w:p w14:paraId="227F1F73" w14:textId="77777777" w:rsidR="0025420C" w:rsidRPr="00E25007" w:rsidRDefault="0025420C" w:rsidP="00323992">
      <w:pPr>
        <w:ind w:left="284" w:right="113"/>
        <w:jc w:val="center"/>
        <w:rPr>
          <w:rFonts w:ascii="Verdana" w:hAnsi="Verdana" w:cs="Tahoma"/>
          <w:b/>
          <w:bCs/>
          <w:caps/>
          <w:color w:val="000000"/>
          <w:lang w:val="bg-BG"/>
        </w:rPr>
      </w:pPr>
    </w:p>
    <w:p w14:paraId="78C94645" w14:textId="7602B12D" w:rsidR="0025420C" w:rsidRPr="00E25007" w:rsidRDefault="0025420C" w:rsidP="00323992">
      <w:pPr>
        <w:ind w:left="284" w:right="113"/>
        <w:jc w:val="center"/>
        <w:rPr>
          <w:rFonts w:ascii="Verdana" w:hAnsi="Verdana" w:cs="Arial"/>
        </w:rPr>
      </w:pPr>
      <w:r w:rsidRPr="00E25007">
        <w:rPr>
          <w:rFonts w:ascii="Verdana" w:hAnsi="Verdana"/>
          <w:b/>
        </w:rPr>
        <w:t xml:space="preserve">Management </w:t>
      </w:r>
      <w:r>
        <w:rPr>
          <w:rFonts w:ascii="Verdana" w:hAnsi="Verdana"/>
          <w:b/>
        </w:rPr>
        <w:t>a</w:t>
      </w:r>
      <w:r w:rsidRPr="00E25007">
        <w:rPr>
          <w:rFonts w:ascii="Verdana" w:hAnsi="Verdana"/>
          <w:b/>
        </w:rPr>
        <w:t xml:space="preserve">ddress: </w:t>
      </w:r>
      <w:r w:rsidRPr="00E25007">
        <w:rPr>
          <w:rFonts w:ascii="Verdana" w:hAnsi="Verdana" w:cs="Arial"/>
        </w:rPr>
        <w:t xml:space="preserve">7000 Ruse, 14 </w:t>
      </w:r>
      <w:proofErr w:type="spellStart"/>
      <w:r w:rsidRPr="00E25007">
        <w:rPr>
          <w:rFonts w:ascii="Verdana" w:hAnsi="Verdana" w:cs="Arial"/>
        </w:rPr>
        <w:t>Olimpi</w:t>
      </w:r>
      <w:proofErr w:type="spellEnd"/>
      <w:r w:rsidRPr="00E25007">
        <w:rPr>
          <w:rFonts w:ascii="Verdana" w:hAnsi="Verdana" w:cs="Arial"/>
        </w:rPr>
        <w:t xml:space="preserve"> Panov </w:t>
      </w:r>
      <w:r>
        <w:rPr>
          <w:rFonts w:ascii="Verdana" w:hAnsi="Verdana" w:cs="Arial"/>
        </w:rPr>
        <w:t>S</w:t>
      </w:r>
      <w:r w:rsidRPr="00E25007">
        <w:rPr>
          <w:rFonts w:ascii="Verdana" w:hAnsi="Verdana" w:cs="Arial"/>
        </w:rPr>
        <w:t xml:space="preserve">tr, Complex </w:t>
      </w:r>
      <w:proofErr w:type="spellStart"/>
      <w:r w:rsidRPr="00E25007">
        <w:rPr>
          <w:rFonts w:ascii="Verdana" w:hAnsi="Verdana" w:cs="Arial"/>
        </w:rPr>
        <w:t>Evas</w:t>
      </w:r>
      <w:proofErr w:type="spellEnd"/>
      <w:r w:rsidRPr="00E25007">
        <w:rPr>
          <w:rFonts w:ascii="Verdana" w:hAnsi="Verdana" w:cs="Arial"/>
        </w:rPr>
        <w:t xml:space="preserve">, Entr. </w:t>
      </w:r>
      <w:r>
        <w:rPr>
          <w:rFonts w:ascii="Verdana" w:hAnsi="Verdana" w:cs="Arial"/>
        </w:rPr>
        <w:t>C</w:t>
      </w:r>
      <w:r w:rsidRPr="00E25007">
        <w:rPr>
          <w:rFonts w:ascii="Verdana" w:hAnsi="Verdana" w:cs="Arial"/>
        </w:rPr>
        <w:t>, Floor 4</w:t>
      </w:r>
    </w:p>
    <w:p w14:paraId="4FF5B599" w14:textId="7CB15094" w:rsidR="00681248" w:rsidRDefault="0025420C" w:rsidP="00323992">
      <w:pPr>
        <w:ind w:left="284" w:right="113"/>
        <w:jc w:val="center"/>
        <w:rPr>
          <w:rFonts w:ascii="Verdana" w:hAnsi="Verdana" w:cs="Arial"/>
        </w:rPr>
      </w:pPr>
      <w:r w:rsidRPr="00E25007">
        <w:rPr>
          <w:rFonts w:ascii="Verdana" w:hAnsi="Verdana"/>
          <w:b/>
        </w:rPr>
        <w:t>Laboratory address:</w:t>
      </w:r>
      <w:r>
        <w:rPr>
          <w:rFonts w:ascii="Verdana" w:hAnsi="Verdana"/>
          <w:b/>
        </w:rPr>
        <w:t xml:space="preserve"> </w:t>
      </w:r>
      <w:r w:rsidRPr="00E25007">
        <w:rPr>
          <w:rFonts w:ascii="Verdana" w:hAnsi="Verdana" w:cs="Arial"/>
        </w:rPr>
        <w:t xml:space="preserve">7000 Ruse, </w:t>
      </w:r>
      <w:proofErr w:type="spellStart"/>
      <w:r w:rsidRPr="00E25007">
        <w:rPr>
          <w:rFonts w:ascii="Verdana" w:hAnsi="Verdana" w:cs="Arial"/>
        </w:rPr>
        <w:t>Sredna</w:t>
      </w:r>
      <w:proofErr w:type="spellEnd"/>
      <w:r w:rsidRPr="00E25007">
        <w:rPr>
          <w:rFonts w:ascii="Verdana" w:hAnsi="Verdana" w:cs="Arial"/>
        </w:rPr>
        <w:t xml:space="preserve"> Kula </w:t>
      </w:r>
      <w:r>
        <w:rPr>
          <w:rFonts w:ascii="Verdana" w:hAnsi="Verdana" w:cs="Arial"/>
        </w:rPr>
        <w:t>D</w:t>
      </w:r>
      <w:r w:rsidRPr="00E25007">
        <w:rPr>
          <w:rFonts w:ascii="Verdana" w:hAnsi="Verdana" w:cs="Arial"/>
        </w:rPr>
        <w:t xml:space="preserve">istrict, 22 Morava </w:t>
      </w:r>
      <w:r>
        <w:rPr>
          <w:rFonts w:ascii="Verdana" w:hAnsi="Verdana" w:cs="Arial"/>
        </w:rPr>
        <w:t>S</w:t>
      </w:r>
      <w:r w:rsidRPr="00E25007">
        <w:rPr>
          <w:rFonts w:ascii="Verdana" w:hAnsi="Verdana" w:cs="Arial"/>
        </w:rPr>
        <w:t>tr.</w:t>
      </w:r>
    </w:p>
    <w:p w14:paraId="396D4875" w14:textId="77777777" w:rsidR="0025420C" w:rsidRDefault="0025420C" w:rsidP="00323992">
      <w:pPr>
        <w:ind w:left="284" w:right="113"/>
        <w:jc w:val="center"/>
        <w:rPr>
          <w:rFonts w:ascii="Verdana" w:hAnsi="Verdana"/>
          <w:b/>
          <w:bCs/>
          <w:color w:val="000000"/>
          <w:lang w:val="en-GB"/>
        </w:rPr>
      </w:pPr>
    </w:p>
    <w:p w14:paraId="20449A42" w14:textId="6F141790" w:rsidR="00473253" w:rsidRDefault="0081484F" w:rsidP="00323992">
      <w:pPr>
        <w:spacing w:line="276" w:lineRule="auto"/>
        <w:ind w:left="284" w:right="113"/>
        <w:jc w:val="both"/>
        <w:rPr>
          <w:rFonts w:ascii="Verdana" w:hAnsi="Verdana"/>
          <w:b/>
          <w:bCs/>
          <w:color w:val="000000"/>
          <w:lang w:val="en-GB"/>
        </w:rPr>
      </w:pPr>
      <w:r w:rsidRPr="00A479A4">
        <w:rPr>
          <w:rFonts w:ascii="Verdana" w:hAnsi="Verdana"/>
          <w:b/>
          <w:bCs/>
          <w:color w:val="000000"/>
          <w:lang w:val="en-GB"/>
        </w:rPr>
        <w:t>To perform testing of:</w:t>
      </w:r>
    </w:p>
    <w:tbl>
      <w:tblPr>
        <w:tblStyle w:val="TableGrid"/>
        <w:tblW w:w="0" w:type="auto"/>
        <w:tblInd w:w="279" w:type="dxa"/>
        <w:tblLook w:val="04A0" w:firstRow="1" w:lastRow="0" w:firstColumn="1" w:lastColumn="0" w:noHBand="0" w:noVBand="1"/>
      </w:tblPr>
      <w:tblGrid>
        <w:gridCol w:w="567"/>
        <w:gridCol w:w="2126"/>
        <w:gridCol w:w="2835"/>
        <w:gridCol w:w="3827"/>
      </w:tblGrid>
      <w:tr w:rsidR="00323992" w:rsidRPr="00786685" w14:paraId="437D6D68" w14:textId="77777777" w:rsidTr="00323992">
        <w:trPr>
          <w:tblHeader/>
        </w:trPr>
        <w:tc>
          <w:tcPr>
            <w:tcW w:w="9355" w:type="dxa"/>
            <w:gridSpan w:val="4"/>
            <w:tcMar>
              <w:top w:w="57" w:type="dxa"/>
              <w:left w:w="85" w:type="dxa"/>
              <w:bottom w:w="57" w:type="dxa"/>
              <w:right w:w="28" w:type="dxa"/>
            </w:tcMar>
          </w:tcPr>
          <w:p w14:paraId="4CA3D05D" w14:textId="72434262" w:rsidR="00323992" w:rsidRDefault="00323992" w:rsidP="003920CF">
            <w:pPr>
              <w:rPr>
                <w:rFonts w:ascii="Verdana" w:hAnsi="Verdana" w:cstheme="minorHAnsi"/>
              </w:rPr>
            </w:pPr>
            <w:r w:rsidRPr="00F07AFC">
              <w:rPr>
                <w:rFonts w:ascii="Verdana" w:hAnsi="Verdana" w:cstheme="minorHAnsi"/>
                <w:b/>
                <w:bCs/>
              </w:rPr>
              <w:t>Type of the scope:</w:t>
            </w:r>
            <w:r w:rsidRPr="00F07AFC">
              <w:rPr>
                <w:rFonts w:ascii="Verdana" w:hAnsi="Verdana" w:cstheme="minorHAnsi"/>
              </w:rPr>
              <w:t xml:space="preserve"> </w:t>
            </w:r>
            <w:r w:rsidRPr="00F07AFC">
              <w:rPr>
                <w:rFonts w:ascii="Verdana" w:hAnsi="Verdana" w:cstheme="minorHAnsi"/>
                <w:i/>
                <w:iCs/>
              </w:rPr>
              <w:t>flexible*</w:t>
            </w:r>
          </w:p>
        </w:tc>
      </w:tr>
      <w:tr w:rsidR="00323992" w:rsidRPr="00786685" w14:paraId="7A195155" w14:textId="77777777" w:rsidTr="00323992">
        <w:trPr>
          <w:tblHeader/>
        </w:trPr>
        <w:tc>
          <w:tcPr>
            <w:tcW w:w="567" w:type="dxa"/>
            <w:tcMar>
              <w:top w:w="57" w:type="dxa"/>
              <w:left w:w="85" w:type="dxa"/>
              <w:bottom w:w="57" w:type="dxa"/>
              <w:right w:w="28" w:type="dxa"/>
            </w:tcMar>
            <w:vAlign w:val="center"/>
          </w:tcPr>
          <w:p w14:paraId="529CBC81" w14:textId="565254F5" w:rsidR="00323992" w:rsidRPr="00786685" w:rsidRDefault="00323992" w:rsidP="00323992">
            <w:pPr>
              <w:jc w:val="center"/>
              <w:rPr>
                <w:rFonts w:ascii="Verdana" w:hAnsi="Verdana" w:cstheme="minorHAnsi"/>
                <w:lang w:val="bg-BG"/>
              </w:rPr>
            </w:pPr>
            <w:r w:rsidRPr="00477B55">
              <w:rPr>
                <w:rFonts w:ascii="Verdana" w:hAnsi="Verdana" w:cs="Arial"/>
                <w:b/>
                <w:bCs/>
                <w:lang w:val="en-GB"/>
              </w:rPr>
              <w:t>№</w:t>
            </w:r>
          </w:p>
        </w:tc>
        <w:tc>
          <w:tcPr>
            <w:tcW w:w="2126" w:type="dxa"/>
            <w:tcMar>
              <w:top w:w="57" w:type="dxa"/>
              <w:left w:w="85" w:type="dxa"/>
              <w:bottom w:w="57" w:type="dxa"/>
              <w:right w:w="28" w:type="dxa"/>
            </w:tcMar>
            <w:vAlign w:val="center"/>
          </w:tcPr>
          <w:p w14:paraId="61F880B2" w14:textId="2F9227BA" w:rsidR="00323992" w:rsidRPr="00786685" w:rsidRDefault="00323992" w:rsidP="00323992">
            <w:pPr>
              <w:jc w:val="center"/>
              <w:rPr>
                <w:rFonts w:ascii="Verdana" w:hAnsi="Verdana" w:cstheme="minorHAnsi"/>
              </w:rPr>
            </w:pPr>
            <w:r w:rsidRPr="00477B55">
              <w:rPr>
                <w:rFonts w:ascii="Verdana" w:hAnsi="Verdana" w:cs="Arial"/>
                <w:b/>
                <w:bCs/>
                <w:lang w:val="en-GB"/>
              </w:rPr>
              <w:t>Tested products</w:t>
            </w:r>
          </w:p>
        </w:tc>
        <w:tc>
          <w:tcPr>
            <w:tcW w:w="2835" w:type="dxa"/>
            <w:tcMar>
              <w:top w:w="57" w:type="dxa"/>
              <w:left w:w="85" w:type="dxa"/>
              <w:bottom w:w="57" w:type="dxa"/>
              <w:right w:w="28" w:type="dxa"/>
            </w:tcMar>
          </w:tcPr>
          <w:p w14:paraId="156E12B8" w14:textId="1EAE9823" w:rsidR="00323992" w:rsidRDefault="00323992" w:rsidP="00323992">
            <w:pPr>
              <w:jc w:val="center"/>
              <w:rPr>
                <w:rFonts w:ascii="Verdana" w:hAnsi="Verdana" w:cstheme="minorHAnsi"/>
                <w:lang w:val="bg-BG"/>
              </w:rPr>
            </w:pPr>
            <w:r w:rsidRPr="00477B55">
              <w:rPr>
                <w:rFonts w:ascii="Verdana" w:hAnsi="Verdana" w:cs="Arial"/>
                <w:b/>
                <w:bCs/>
                <w:lang w:val="en-GB"/>
              </w:rPr>
              <w:t>Type of test/</w:t>
            </w:r>
            <w:r w:rsidRPr="00477B55">
              <w:rPr>
                <w:rFonts w:ascii="Verdana" w:hAnsi="Verdana" w:cs="Arial"/>
                <w:b/>
                <w:bCs/>
                <w:lang w:val="bg-BG"/>
              </w:rPr>
              <w:t xml:space="preserve"> </w:t>
            </w:r>
            <w:r w:rsidRPr="00477B55">
              <w:rPr>
                <w:rFonts w:ascii="Verdana" w:hAnsi="Verdana" w:cs="Arial"/>
                <w:b/>
                <w:bCs/>
                <w:lang w:val="en-GB"/>
              </w:rPr>
              <w:t>characteristics</w:t>
            </w:r>
          </w:p>
        </w:tc>
        <w:tc>
          <w:tcPr>
            <w:tcW w:w="3827" w:type="dxa"/>
            <w:tcMar>
              <w:top w:w="57" w:type="dxa"/>
              <w:left w:w="85" w:type="dxa"/>
              <w:bottom w:w="57" w:type="dxa"/>
              <w:right w:w="28" w:type="dxa"/>
            </w:tcMar>
          </w:tcPr>
          <w:p w14:paraId="3AD0DF75" w14:textId="5B629EEA" w:rsidR="00323992" w:rsidRDefault="00323992" w:rsidP="00323992">
            <w:pPr>
              <w:jc w:val="center"/>
              <w:rPr>
                <w:rFonts w:ascii="Verdana" w:hAnsi="Verdana" w:cstheme="minorHAnsi"/>
              </w:rPr>
            </w:pPr>
            <w:r w:rsidRPr="00477B55">
              <w:rPr>
                <w:rFonts w:ascii="Verdana" w:hAnsi="Verdana" w:cs="Arial"/>
                <w:b/>
                <w:bCs/>
                <w:lang w:val="en-GB"/>
              </w:rPr>
              <w:t>Methods of testing</w:t>
            </w:r>
            <w:r w:rsidRPr="00477B55">
              <w:rPr>
                <w:rFonts w:ascii="Verdana" w:hAnsi="Verdana" w:cs="Arial"/>
                <w:b/>
                <w:bCs/>
                <w:lang w:val="en-GB"/>
              </w:rPr>
              <w:br/>
              <w:t>(standardised / validated)</w:t>
            </w:r>
          </w:p>
        </w:tc>
      </w:tr>
      <w:tr w:rsidR="00323992" w:rsidRPr="00786685" w14:paraId="7A85F1BD" w14:textId="77777777" w:rsidTr="00323992">
        <w:trPr>
          <w:tblHeader/>
        </w:trPr>
        <w:tc>
          <w:tcPr>
            <w:tcW w:w="567" w:type="dxa"/>
            <w:tcMar>
              <w:top w:w="57" w:type="dxa"/>
              <w:left w:w="85" w:type="dxa"/>
              <w:bottom w:w="57" w:type="dxa"/>
              <w:right w:w="28" w:type="dxa"/>
            </w:tcMar>
          </w:tcPr>
          <w:p w14:paraId="1A6E6D6F" w14:textId="7F97E554" w:rsidR="00323992" w:rsidRPr="00786685" w:rsidRDefault="00323992" w:rsidP="00323992">
            <w:pPr>
              <w:jc w:val="center"/>
              <w:rPr>
                <w:rFonts w:ascii="Verdana" w:hAnsi="Verdana" w:cstheme="minorHAnsi"/>
                <w:lang w:val="bg-BG"/>
              </w:rPr>
            </w:pPr>
            <w:r>
              <w:rPr>
                <w:rFonts w:ascii="Verdana" w:hAnsi="Verdana" w:cstheme="minorHAnsi"/>
                <w:lang w:val="bg-BG"/>
              </w:rPr>
              <w:t>1</w:t>
            </w:r>
          </w:p>
        </w:tc>
        <w:tc>
          <w:tcPr>
            <w:tcW w:w="2126" w:type="dxa"/>
            <w:tcMar>
              <w:top w:w="57" w:type="dxa"/>
              <w:left w:w="85" w:type="dxa"/>
              <w:bottom w:w="57" w:type="dxa"/>
              <w:right w:w="28" w:type="dxa"/>
            </w:tcMar>
          </w:tcPr>
          <w:p w14:paraId="1968F1A7" w14:textId="0145C985" w:rsidR="00323992" w:rsidRPr="00323992" w:rsidRDefault="00323992" w:rsidP="00323992">
            <w:pPr>
              <w:jc w:val="center"/>
              <w:rPr>
                <w:rFonts w:ascii="Verdana" w:hAnsi="Verdana" w:cstheme="minorHAnsi"/>
                <w:lang w:val="bg-BG"/>
              </w:rPr>
            </w:pPr>
            <w:r>
              <w:rPr>
                <w:rFonts w:ascii="Verdana" w:hAnsi="Verdana" w:cstheme="minorHAnsi"/>
                <w:lang w:val="bg-BG"/>
              </w:rPr>
              <w:t>2</w:t>
            </w:r>
          </w:p>
        </w:tc>
        <w:tc>
          <w:tcPr>
            <w:tcW w:w="2835" w:type="dxa"/>
            <w:tcMar>
              <w:top w:w="57" w:type="dxa"/>
              <w:left w:w="85" w:type="dxa"/>
              <w:bottom w:w="57" w:type="dxa"/>
              <w:right w:w="28" w:type="dxa"/>
            </w:tcMar>
          </w:tcPr>
          <w:p w14:paraId="6A0B523B" w14:textId="6D50AC7C" w:rsidR="00323992" w:rsidRDefault="00323992" w:rsidP="00323992">
            <w:pPr>
              <w:jc w:val="center"/>
              <w:rPr>
                <w:rFonts w:ascii="Verdana" w:hAnsi="Verdana" w:cstheme="minorHAnsi"/>
                <w:lang w:val="bg-BG"/>
              </w:rPr>
            </w:pPr>
            <w:r>
              <w:rPr>
                <w:rFonts w:ascii="Verdana" w:hAnsi="Verdana" w:cstheme="minorHAnsi"/>
                <w:lang w:val="bg-BG"/>
              </w:rPr>
              <w:t>3</w:t>
            </w:r>
          </w:p>
        </w:tc>
        <w:tc>
          <w:tcPr>
            <w:tcW w:w="3827" w:type="dxa"/>
            <w:tcMar>
              <w:top w:w="57" w:type="dxa"/>
              <w:left w:w="85" w:type="dxa"/>
              <w:bottom w:w="57" w:type="dxa"/>
              <w:right w:w="28" w:type="dxa"/>
            </w:tcMar>
          </w:tcPr>
          <w:p w14:paraId="4F5E94F9" w14:textId="4AF60197" w:rsidR="00323992" w:rsidRPr="00323992" w:rsidRDefault="00323992" w:rsidP="00323992">
            <w:pPr>
              <w:jc w:val="center"/>
              <w:rPr>
                <w:rFonts w:ascii="Verdana" w:hAnsi="Verdana" w:cstheme="minorHAnsi"/>
                <w:lang w:val="bg-BG"/>
              </w:rPr>
            </w:pPr>
            <w:r>
              <w:rPr>
                <w:rFonts w:ascii="Verdana" w:hAnsi="Verdana" w:cstheme="minorHAnsi"/>
                <w:lang w:val="bg-BG"/>
              </w:rPr>
              <w:t>4</w:t>
            </w:r>
          </w:p>
        </w:tc>
      </w:tr>
      <w:tr w:rsidR="005446C0" w:rsidRPr="00786685" w14:paraId="47F3B9A7" w14:textId="77777777" w:rsidTr="00323992">
        <w:tc>
          <w:tcPr>
            <w:tcW w:w="567" w:type="dxa"/>
            <w:vMerge w:val="restart"/>
            <w:tcMar>
              <w:top w:w="57" w:type="dxa"/>
              <w:left w:w="85" w:type="dxa"/>
              <w:bottom w:w="57" w:type="dxa"/>
              <w:right w:w="28" w:type="dxa"/>
            </w:tcMar>
          </w:tcPr>
          <w:p w14:paraId="6D5951F1" w14:textId="77777777" w:rsidR="005446C0" w:rsidRPr="00786685" w:rsidRDefault="005446C0" w:rsidP="00FE6181">
            <w:pPr>
              <w:jc w:val="center"/>
              <w:rPr>
                <w:rFonts w:ascii="Verdana" w:hAnsi="Verdana" w:cstheme="minorHAnsi"/>
                <w:lang w:val="bg-BG"/>
              </w:rPr>
            </w:pPr>
            <w:r w:rsidRPr="00786685">
              <w:rPr>
                <w:rFonts w:ascii="Verdana" w:hAnsi="Verdana" w:cstheme="minorHAnsi"/>
                <w:lang w:val="bg-BG"/>
              </w:rPr>
              <w:t>1.</w:t>
            </w:r>
          </w:p>
        </w:tc>
        <w:tc>
          <w:tcPr>
            <w:tcW w:w="2126" w:type="dxa"/>
            <w:vMerge w:val="restart"/>
            <w:tcMar>
              <w:top w:w="57" w:type="dxa"/>
              <w:left w:w="85" w:type="dxa"/>
              <w:bottom w:w="57" w:type="dxa"/>
              <w:right w:w="28" w:type="dxa"/>
            </w:tcMar>
          </w:tcPr>
          <w:p w14:paraId="16A9727B" w14:textId="7661BD78" w:rsidR="005446C0" w:rsidRPr="005446C0" w:rsidRDefault="005446C0" w:rsidP="003920CF">
            <w:pPr>
              <w:rPr>
                <w:rFonts w:ascii="Verdana" w:hAnsi="Verdana" w:cstheme="minorHAnsi"/>
                <w:lang w:val="bg-BG"/>
              </w:rPr>
            </w:pPr>
            <w:r w:rsidRPr="00786685">
              <w:rPr>
                <w:rFonts w:ascii="Verdana" w:hAnsi="Verdana" w:cstheme="minorHAnsi"/>
              </w:rPr>
              <w:t>Asphalt mix</w:t>
            </w:r>
            <w:r>
              <w:rPr>
                <w:rFonts w:ascii="Verdana" w:hAnsi="Verdana" w:cstheme="minorHAnsi"/>
                <w:lang w:val="bg-BG"/>
              </w:rPr>
              <w:t xml:space="preserve"> </w:t>
            </w:r>
          </w:p>
        </w:tc>
        <w:tc>
          <w:tcPr>
            <w:tcW w:w="2835" w:type="dxa"/>
            <w:tcMar>
              <w:top w:w="57" w:type="dxa"/>
              <w:left w:w="85" w:type="dxa"/>
              <w:bottom w:w="57" w:type="dxa"/>
              <w:right w:w="28" w:type="dxa"/>
            </w:tcMar>
          </w:tcPr>
          <w:p w14:paraId="0646D6B5" w14:textId="5A7F4233" w:rsidR="005446C0" w:rsidRPr="00786685" w:rsidRDefault="005446C0" w:rsidP="003920CF">
            <w:pPr>
              <w:rPr>
                <w:rFonts w:ascii="Verdana" w:hAnsi="Verdana" w:cstheme="minorHAnsi"/>
              </w:rPr>
            </w:pPr>
            <w:r>
              <w:rPr>
                <w:rFonts w:ascii="Verdana" w:hAnsi="Verdana" w:cstheme="minorHAnsi"/>
                <w:lang w:val="bg-BG"/>
              </w:rPr>
              <w:t xml:space="preserve">1.1. </w:t>
            </w:r>
            <w:r w:rsidRPr="00786685">
              <w:rPr>
                <w:rFonts w:ascii="Verdana" w:hAnsi="Verdana" w:cstheme="minorHAnsi"/>
              </w:rPr>
              <w:t xml:space="preserve">Bulk density of asphalt mix </w:t>
            </w:r>
          </w:p>
        </w:tc>
        <w:tc>
          <w:tcPr>
            <w:tcW w:w="3827" w:type="dxa"/>
            <w:tcMar>
              <w:top w:w="57" w:type="dxa"/>
              <w:left w:w="85" w:type="dxa"/>
              <w:bottom w:w="57" w:type="dxa"/>
              <w:right w:w="28" w:type="dxa"/>
            </w:tcMar>
          </w:tcPr>
          <w:p w14:paraId="66A7A1B6" w14:textId="594DAE7F"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12697-6</w:t>
            </w:r>
          </w:p>
        </w:tc>
      </w:tr>
      <w:tr w:rsidR="005446C0" w:rsidRPr="00786685" w14:paraId="0D78E755" w14:textId="77777777" w:rsidTr="00323992">
        <w:tc>
          <w:tcPr>
            <w:tcW w:w="567" w:type="dxa"/>
            <w:vMerge/>
            <w:tcMar>
              <w:top w:w="57" w:type="dxa"/>
              <w:left w:w="85" w:type="dxa"/>
              <w:bottom w:w="57" w:type="dxa"/>
              <w:right w:w="28" w:type="dxa"/>
            </w:tcMar>
          </w:tcPr>
          <w:p w14:paraId="6C262324"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0E1F165D"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5E203C0B" w14:textId="7E30536F" w:rsidR="005446C0" w:rsidRPr="00786685" w:rsidRDefault="005446C0" w:rsidP="003920CF">
            <w:pPr>
              <w:rPr>
                <w:rFonts w:ascii="Verdana" w:hAnsi="Verdana" w:cstheme="minorHAnsi"/>
              </w:rPr>
            </w:pPr>
            <w:r>
              <w:rPr>
                <w:rFonts w:ascii="Verdana" w:hAnsi="Verdana" w:cstheme="minorHAnsi"/>
                <w:lang w:val="bg-BG"/>
              </w:rPr>
              <w:t xml:space="preserve">1.2. </w:t>
            </w:r>
            <w:r w:rsidRPr="00786685">
              <w:rPr>
                <w:rFonts w:ascii="Verdana" w:hAnsi="Verdana" w:cstheme="minorHAnsi"/>
              </w:rPr>
              <w:t xml:space="preserve">Maximum density of asphalt mix </w:t>
            </w:r>
          </w:p>
        </w:tc>
        <w:tc>
          <w:tcPr>
            <w:tcW w:w="3827" w:type="dxa"/>
            <w:tcMar>
              <w:top w:w="57" w:type="dxa"/>
              <w:left w:w="85" w:type="dxa"/>
              <w:bottom w:w="57" w:type="dxa"/>
              <w:right w:w="28" w:type="dxa"/>
            </w:tcMar>
          </w:tcPr>
          <w:p w14:paraId="0E8E7EFB" w14:textId="77777777" w:rsidR="00112E76"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12697-5, </w:t>
            </w:r>
          </w:p>
          <w:p w14:paraId="15AC48FE" w14:textId="49459C6B" w:rsidR="005446C0" w:rsidRPr="00112E76" w:rsidRDefault="005446C0" w:rsidP="003920CF">
            <w:pPr>
              <w:rPr>
                <w:rFonts w:ascii="Verdana" w:hAnsi="Verdana" w:cstheme="minorHAnsi"/>
                <w:lang w:val="bg-BG"/>
              </w:rPr>
            </w:pPr>
            <w:r>
              <w:rPr>
                <w:rFonts w:ascii="Verdana" w:hAnsi="Verdana" w:cstheme="minorHAnsi"/>
              </w:rPr>
              <w:t>M</w:t>
            </w:r>
            <w:r w:rsidRPr="00786685">
              <w:rPr>
                <w:rFonts w:ascii="Verdana" w:hAnsi="Verdana" w:cstheme="minorHAnsi"/>
              </w:rPr>
              <w:t>et</w:t>
            </w:r>
            <w:r w:rsidR="00112E76">
              <w:rPr>
                <w:rFonts w:ascii="Verdana" w:hAnsi="Verdana" w:cstheme="minorHAnsi"/>
              </w:rPr>
              <w:t>h</w:t>
            </w:r>
            <w:r w:rsidRPr="00786685">
              <w:rPr>
                <w:rFonts w:ascii="Verdana" w:hAnsi="Verdana" w:cstheme="minorHAnsi"/>
              </w:rPr>
              <w:t xml:space="preserve">od A, </w:t>
            </w:r>
            <w:r>
              <w:rPr>
                <w:rFonts w:ascii="Verdana" w:hAnsi="Verdana" w:cstheme="minorHAnsi"/>
              </w:rPr>
              <w:t>M</w:t>
            </w:r>
            <w:r w:rsidRPr="00786685">
              <w:rPr>
                <w:rFonts w:ascii="Verdana" w:hAnsi="Verdana" w:cstheme="minorHAnsi"/>
              </w:rPr>
              <w:t>et</w:t>
            </w:r>
            <w:r w:rsidR="00112E76">
              <w:rPr>
                <w:rFonts w:ascii="Verdana" w:hAnsi="Verdana" w:cstheme="minorHAnsi"/>
              </w:rPr>
              <w:t>h</w:t>
            </w:r>
            <w:r w:rsidRPr="00786685">
              <w:rPr>
                <w:rFonts w:ascii="Verdana" w:hAnsi="Verdana" w:cstheme="minorHAnsi"/>
              </w:rPr>
              <w:t xml:space="preserve">od </w:t>
            </w:r>
            <w:r w:rsidR="00112E76">
              <w:rPr>
                <w:rFonts w:ascii="Verdana" w:hAnsi="Verdana" w:cstheme="minorHAnsi"/>
                <w:lang w:val="bg-BG"/>
              </w:rPr>
              <w:t>В</w:t>
            </w:r>
          </w:p>
        </w:tc>
      </w:tr>
      <w:tr w:rsidR="005446C0" w:rsidRPr="00786685" w14:paraId="5FBE6549" w14:textId="77777777" w:rsidTr="00323992">
        <w:tc>
          <w:tcPr>
            <w:tcW w:w="567" w:type="dxa"/>
            <w:vMerge/>
            <w:tcMar>
              <w:top w:w="57" w:type="dxa"/>
              <w:left w:w="85" w:type="dxa"/>
              <w:bottom w:w="57" w:type="dxa"/>
              <w:right w:w="28" w:type="dxa"/>
            </w:tcMar>
          </w:tcPr>
          <w:p w14:paraId="724F5E0D"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69D7FF13"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17DB236C" w14:textId="61A2B93B" w:rsidR="005446C0" w:rsidRPr="00786685" w:rsidRDefault="005446C0" w:rsidP="003920CF">
            <w:pPr>
              <w:rPr>
                <w:rFonts w:ascii="Verdana" w:hAnsi="Verdana" w:cstheme="minorHAnsi"/>
                <w:lang w:val="bg-BG"/>
              </w:rPr>
            </w:pPr>
            <w:r>
              <w:rPr>
                <w:rFonts w:ascii="Verdana" w:hAnsi="Verdana" w:cstheme="minorHAnsi"/>
                <w:lang w:val="bg-BG"/>
              </w:rPr>
              <w:t xml:space="preserve">1.3. </w:t>
            </w:r>
            <w:r w:rsidRPr="00786685">
              <w:rPr>
                <w:rFonts w:ascii="Verdana" w:hAnsi="Verdana" w:cstheme="minorHAnsi"/>
              </w:rPr>
              <w:t xml:space="preserve">Air voids content </w:t>
            </w:r>
          </w:p>
        </w:tc>
        <w:tc>
          <w:tcPr>
            <w:tcW w:w="3827" w:type="dxa"/>
            <w:tcMar>
              <w:top w:w="57" w:type="dxa"/>
              <w:left w:w="85" w:type="dxa"/>
              <w:bottom w:w="57" w:type="dxa"/>
              <w:right w:w="28" w:type="dxa"/>
            </w:tcMar>
          </w:tcPr>
          <w:p w14:paraId="4CEA9E0E" w14:textId="5CA15DA4"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12697-8</w:t>
            </w:r>
          </w:p>
        </w:tc>
      </w:tr>
      <w:tr w:rsidR="005446C0" w:rsidRPr="00786685" w14:paraId="3E9BF008" w14:textId="77777777" w:rsidTr="00323992">
        <w:tc>
          <w:tcPr>
            <w:tcW w:w="567" w:type="dxa"/>
            <w:vMerge/>
            <w:tcMar>
              <w:top w:w="57" w:type="dxa"/>
              <w:left w:w="85" w:type="dxa"/>
              <w:bottom w:w="57" w:type="dxa"/>
              <w:right w:w="28" w:type="dxa"/>
            </w:tcMar>
          </w:tcPr>
          <w:p w14:paraId="2640986F"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172497EB"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724D1311" w14:textId="1F791F57" w:rsidR="005446C0" w:rsidRPr="00786685" w:rsidRDefault="005446C0" w:rsidP="003920CF">
            <w:pPr>
              <w:rPr>
                <w:rFonts w:ascii="Verdana" w:hAnsi="Verdana" w:cstheme="minorHAnsi"/>
              </w:rPr>
            </w:pPr>
            <w:r>
              <w:rPr>
                <w:rFonts w:ascii="Verdana" w:hAnsi="Verdana" w:cstheme="minorHAnsi"/>
                <w:lang w:val="bg-BG"/>
              </w:rPr>
              <w:t xml:space="preserve">1.4. </w:t>
            </w:r>
            <w:r w:rsidRPr="00786685">
              <w:rPr>
                <w:rFonts w:ascii="Verdana" w:hAnsi="Verdana" w:cstheme="minorHAnsi"/>
              </w:rPr>
              <w:t>Soluble binder content</w:t>
            </w:r>
          </w:p>
        </w:tc>
        <w:tc>
          <w:tcPr>
            <w:tcW w:w="3827" w:type="dxa"/>
            <w:tcMar>
              <w:top w:w="57" w:type="dxa"/>
              <w:left w:w="85" w:type="dxa"/>
              <w:bottom w:w="57" w:type="dxa"/>
              <w:right w:w="28" w:type="dxa"/>
            </w:tcMar>
          </w:tcPr>
          <w:p w14:paraId="11E173FB" w14:textId="480FF815"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12697-1</w:t>
            </w:r>
          </w:p>
          <w:p w14:paraId="112B20F4" w14:textId="5CD3ED5B" w:rsidR="005446C0" w:rsidRPr="00786685" w:rsidRDefault="005446C0" w:rsidP="003920CF">
            <w:pPr>
              <w:rPr>
                <w:rFonts w:ascii="Verdana" w:hAnsi="Verdana" w:cstheme="minorHAnsi"/>
              </w:rPr>
            </w:pPr>
            <w:r w:rsidRPr="00786685">
              <w:rPr>
                <w:rFonts w:ascii="Verdana" w:hAnsi="Verdana" w:cstheme="minorHAnsi"/>
              </w:rPr>
              <w:t xml:space="preserve">Annex </w:t>
            </w:r>
            <w:r w:rsidR="00112E76">
              <w:rPr>
                <w:rFonts w:ascii="Verdana" w:hAnsi="Verdana" w:cstheme="minorHAnsi"/>
                <w:lang w:val="bg-BG"/>
              </w:rPr>
              <w:t>В</w:t>
            </w:r>
            <w:r w:rsidRPr="00786685">
              <w:rPr>
                <w:rFonts w:ascii="Verdana" w:hAnsi="Verdana" w:cstheme="minorHAnsi"/>
              </w:rPr>
              <w:t xml:space="preserve">, </w:t>
            </w:r>
            <w:r>
              <w:rPr>
                <w:rFonts w:ascii="Verdana" w:hAnsi="Verdana" w:cstheme="minorHAnsi"/>
              </w:rPr>
              <w:t>cl.</w:t>
            </w:r>
            <w:r w:rsidRPr="00786685">
              <w:rPr>
                <w:rFonts w:ascii="Verdana" w:hAnsi="Verdana" w:cstheme="minorHAnsi"/>
              </w:rPr>
              <w:t xml:space="preserve"> </w:t>
            </w:r>
            <w:r w:rsidR="00112E76">
              <w:rPr>
                <w:rFonts w:ascii="Verdana" w:hAnsi="Verdana" w:cstheme="minorHAnsi"/>
                <w:lang w:val="bg-BG"/>
              </w:rPr>
              <w:t>В</w:t>
            </w:r>
            <w:r w:rsidRPr="00786685">
              <w:rPr>
                <w:rFonts w:ascii="Verdana" w:hAnsi="Verdana" w:cstheme="minorHAnsi"/>
              </w:rPr>
              <w:t>.2.1</w:t>
            </w:r>
          </w:p>
        </w:tc>
      </w:tr>
      <w:tr w:rsidR="005446C0" w:rsidRPr="00786685" w14:paraId="4FDE07CF" w14:textId="77777777" w:rsidTr="00323992">
        <w:tc>
          <w:tcPr>
            <w:tcW w:w="567" w:type="dxa"/>
            <w:vMerge/>
            <w:tcMar>
              <w:top w:w="57" w:type="dxa"/>
              <w:left w:w="85" w:type="dxa"/>
              <w:bottom w:w="57" w:type="dxa"/>
              <w:right w:w="28" w:type="dxa"/>
            </w:tcMar>
          </w:tcPr>
          <w:p w14:paraId="7F543001"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5BC2930B"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770760DB" w14:textId="45AD6569" w:rsidR="005446C0" w:rsidRPr="00786685" w:rsidRDefault="005446C0" w:rsidP="003920CF">
            <w:pPr>
              <w:rPr>
                <w:rFonts w:ascii="Verdana" w:hAnsi="Verdana" w:cstheme="minorHAnsi"/>
              </w:rPr>
            </w:pPr>
            <w:r>
              <w:rPr>
                <w:rFonts w:ascii="Verdana" w:hAnsi="Verdana" w:cstheme="minorHAnsi"/>
                <w:lang w:val="bg-BG"/>
              </w:rPr>
              <w:t xml:space="preserve">1.5. </w:t>
            </w:r>
            <w:r w:rsidRPr="00786685">
              <w:rPr>
                <w:rFonts w:ascii="Verdana" w:hAnsi="Verdana" w:cstheme="minorHAnsi"/>
              </w:rPr>
              <w:t>Particle size distribution</w:t>
            </w:r>
          </w:p>
        </w:tc>
        <w:tc>
          <w:tcPr>
            <w:tcW w:w="3827" w:type="dxa"/>
            <w:tcMar>
              <w:top w:w="57" w:type="dxa"/>
              <w:left w:w="85" w:type="dxa"/>
              <w:bottom w:w="57" w:type="dxa"/>
              <w:right w:w="28" w:type="dxa"/>
            </w:tcMar>
          </w:tcPr>
          <w:p w14:paraId="711BBAE6" w14:textId="368F8696"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12697-2</w:t>
            </w:r>
          </w:p>
        </w:tc>
      </w:tr>
      <w:tr w:rsidR="005446C0" w:rsidRPr="00786685" w14:paraId="52845B15" w14:textId="77777777" w:rsidTr="00323992">
        <w:tc>
          <w:tcPr>
            <w:tcW w:w="567" w:type="dxa"/>
            <w:vMerge/>
            <w:tcMar>
              <w:top w:w="57" w:type="dxa"/>
              <w:left w:w="85" w:type="dxa"/>
              <w:bottom w:w="57" w:type="dxa"/>
              <w:right w:w="28" w:type="dxa"/>
            </w:tcMar>
          </w:tcPr>
          <w:p w14:paraId="13DE6C97"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56F88EE8"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4ABDC4B0" w14:textId="2D875929" w:rsidR="005446C0" w:rsidRPr="00786685" w:rsidRDefault="005446C0" w:rsidP="003920CF">
            <w:pPr>
              <w:rPr>
                <w:rFonts w:ascii="Verdana" w:hAnsi="Verdana" w:cstheme="minorHAnsi"/>
              </w:rPr>
            </w:pPr>
            <w:r>
              <w:rPr>
                <w:rFonts w:ascii="Verdana" w:hAnsi="Verdana" w:cstheme="minorHAnsi"/>
                <w:lang w:val="bg-BG"/>
              </w:rPr>
              <w:t xml:space="preserve">1.6. </w:t>
            </w:r>
            <w:r w:rsidRPr="00786685">
              <w:rPr>
                <w:rFonts w:ascii="Verdana" w:hAnsi="Verdana" w:cstheme="minorHAnsi"/>
              </w:rPr>
              <w:t>Marshall test</w:t>
            </w:r>
            <w:r w:rsidRPr="00786685">
              <w:rPr>
                <w:rFonts w:ascii="Verdana" w:hAnsi="Verdana" w:cstheme="minorHAnsi"/>
                <w:lang w:val="bg-BG"/>
              </w:rPr>
              <w:t xml:space="preserve"> – </w:t>
            </w:r>
            <w:r w:rsidRPr="00786685">
              <w:rPr>
                <w:rFonts w:ascii="Verdana" w:hAnsi="Verdana" w:cstheme="minorHAnsi"/>
              </w:rPr>
              <w:t xml:space="preserve">stability </w:t>
            </w:r>
          </w:p>
        </w:tc>
        <w:tc>
          <w:tcPr>
            <w:tcW w:w="3827" w:type="dxa"/>
            <w:tcMar>
              <w:top w:w="57" w:type="dxa"/>
              <w:left w:w="85" w:type="dxa"/>
              <w:bottom w:w="57" w:type="dxa"/>
              <w:right w:w="28" w:type="dxa"/>
            </w:tcMar>
          </w:tcPr>
          <w:p w14:paraId="6D2F8168" w14:textId="79AC8394"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12697-34</w:t>
            </w:r>
          </w:p>
        </w:tc>
      </w:tr>
      <w:tr w:rsidR="005446C0" w:rsidRPr="00786685" w14:paraId="063F9196" w14:textId="77777777" w:rsidTr="00323992">
        <w:tc>
          <w:tcPr>
            <w:tcW w:w="567" w:type="dxa"/>
            <w:vMerge/>
            <w:tcMar>
              <w:top w:w="57" w:type="dxa"/>
              <w:left w:w="85" w:type="dxa"/>
              <w:bottom w:w="57" w:type="dxa"/>
              <w:right w:w="28" w:type="dxa"/>
            </w:tcMar>
          </w:tcPr>
          <w:p w14:paraId="3AA70879"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34FCED9D"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03CD33BA" w14:textId="08E0372A" w:rsidR="005446C0" w:rsidRPr="00786685" w:rsidRDefault="005446C0" w:rsidP="003920CF">
            <w:pPr>
              <w:rPr>
                <w:rFonts w:ascii="Verdana" w:hAnsi="Verdana" w:cstheme="minorHAnsi"/>
                <w:lang w:val="bg-BG"/>
              </w:rPr>
            </w:pPr>
            <w:r>
              <w:rPr>
                <w:rFonts w:ascii="Verdana" w:hAnsi="Verdana" w:cstheme="minorHAnsi"/>
                <w:lang w:val="bg-BG"/>
              </w:rPr>
              <w:t xml:space="preserve">1.7. </w:t>
            </w:r>
            <w:r w:rsidRPr="00786685">
              <w:rPr>
                <w:rFonts w:ascii="Verdana" w:hAnsi="Verdana" w:cstheme="minorHAnsi"/>
              </w:rPr>
              <w:t xml:space="preserve">Marshall test </w:t>
            </w:r>
            <w:r w:rsidRPr="00786685">
              <w:rPr>
                <w:rFonts w:ascii="Verdana" w:hAnsi="Verdana" w:cstheme="minorHAnsi"/>
                <w:lang w:val="bg-BG"/>
              </w:rPr>
              <w:t xml:space="preserve">– </w:t>
            </w:r>
            <w:r w:rsidRPr="00786685">
              <w:rPr>
                <w:rFonts w:ascii="Verdana" w:hAnsi="Verdana" w:cstheme="minorHAnsi"/>
              </w:rPr>
              <w:t>conditional plasticity</w:t>
            </w:r>
          </w:p>
        </w:tc>
        <w:tc>
          <w:tcPr>
            <w:tcW w:w="3827" w:type="dxa"/>
            <w:tcMar>
              <w:top w:w="57" w:type="dxa"/>
              <w:left w:w="85" w:type="dxa"/>
              <w:bottom w:w="57" w:type="dxa"/>
              <w:right w:w="28" w:type="dxa"/>
            </w:tcMar>
          </w:tcPr>
          <w:p w14:paraId="72461925" w14:textId="4E9834E2"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12697-34</w:t>
            </w:r>
          </w:p>
        </w:tc>
      </w:tr>
      <w:tr w:rsidR="005446C0" w:rsidRPr="00786685" w14:paraId="59CA6F20" w14:textId="77777777" w:rsidTr="00323992">
        <w:tc>
          <w:tcPr>
            <w:tcW w:w="567" w:type="dxa"/>
            <w:vMerge/>
            <w:tcMar>
              <w:top w:w="57" w:type="dxa"/>
              <w:left w:w="85" w:type="dxa"/>
              <w:bottom w:w="57" w:type="dxa"/>
              <w:right w:w="28" w:type="dxa"/>
            </w:tcMar>
          </w:tcPr>
          <w:p w14:paraId="4FC0E5C2"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363B1B25"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05585FA5" w14:textId="01FC7FEF" w:rsidR="005446C0" w:rsidRPr="00786685" w:rsidRDefault="005446C0" w:rsidP="003920CF">
            <w:pPr>
              <w:rPr>
                <w:rFonts w:ascii="Verdana" w:hAnsi="Verdana" w:cstheme="minorHAnsi"/>
              </w:rPr>
            </w:pPr>
            <w:r>
              <w:rPr>
                <w:rFonts w:ascii="Verdana" w:hAnsi="Verdana" w:cstheme="minorHAnsi"/>
                <w:lang w:val="bg-BG"/>
              </w:rPr>
              <w:t xml:space="preserve">1.8. </w:t>
            </w:r>
            <w:r w:rsidRPr="00786685">
              <w:rPr>
                <w:rFonts w:ascii="Verdana" w:hAnsi="Verdana" w:cstheme="minorHAnsi"/>
              </w:rPr>
              <w:t xml:space="preserve">Temperature of the asphalt mix </w:t>
            </w:r>
          </w:p>
        </w:tc>
        <w:tc>
          <w:tcPr>
            <w:tcW w:w="3827" w:type="dxa"/>
            <w:tcMar>
              <w:top w:w="57" w:type="dxa"/>
              <w:left w:w="85" w:type="dxa"/>
              <w:bottom w:w="57" w:type="dxa"/>
              <w:right w:w="28" w:type="dxa"/>
            </w:tcMar>
          </w:tcPr>
          <w:p w14:paraId="2A5A004E" w14:textId="40FD53C1"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12697-13</w:t>
            </w:r>
            <w:r w:rsidR="00F25A7F">
              <w:rPr>
                <w:rFonts w:ascii="Verdana" w:hAnsi="Verdana" w:cstheme="minorHAnsi"/>
              </w:rPr>
              <w:t>, cl. 4.1</w:t>
            </w:r>
          </w:p>
        </w:tc>
      </w:tr>
      <w:tr w:rsidR="005446C0" w:rsidRPr="00786685" w14:paraId="15FD1EE2" w14:textId="77777777" w:rsidTr="00323992">
        <w:tc>
          <w:tcPr>
            <w:tcW w:w="567" w:type="dxa"/>
            <w:vMerge w:val="restart"/>
            <w:tcMar>
              <w:top w:w="57" w:type="dxa"/>
              <w:left w:w="85" w:type="dxa"/>
              <w:bottom w:w="57" w:type="dxa"/>
              <w:right w:w="28" w:type="dxa"/>
            </w:tcMar>
          </w:tcPr>
          <w:p w14:paraId="461600B5" w14:textId="77777777" w:rsidR="005446C0" w:rsidRPr="00786685" w:rsidRDefault="005446C0" w:rsidP="00FE6181">
            <w:pPr>
              <w:jc w:val="center"/>
              <w:rPr>
                <w:rFonts w:ascii="Verdana" w:hAnsi="Verdana" w:cstheme="minorHAnsi"/>
                <w:lang w:val="bg-BG"/>
              </w:rPr>
            </w:pPr>
            <w:r w:rsidRPr="00786685">
              <w:rPr>
                <w:rFonts w:ascii="Verdana" w:hAnsi="Verdana" w:cstheme="minorHAnsi"/>
                <w:lang w:val="bg-BG"/>
              </w:rPr>
              <w:t>2.</w:t>
            </w:r>
          </w:p>
        </w:tc>
        <w:tc>
          <w:tcPr>
            <w:tcW w:w="2126" w:type="dxa"/>
            <w:vMerge w:val="restart"/>
            <w:tcMar>
              <w:top w:w="57" w:type="dxa"/>
              <w:left w:w="85" w:type="dxa"/>
              <w:bottom w:w="57" w:type="dxa"/>
              <w:right w:w="28" w:type="dxa"/>
            </w:tcMar>
          </w:tcPr>
          <w:p w14:paraId="5525F0AD" w14:textId="77777777" w:rsidR="005446C0" w:rsidRPr="00786685" w:rsidRDefault="005446C0" w:rsidP="003920CF">
            <w:pPr>
              <w:rPr>
                <w:rFonts w:ascii="Verdana" w:hAnsi="Verdana" w:cstheme="minorHAnsi"/>
              </w:rPr>
            </w:pPr>
            <w:r w:rsidRPr="00786685">
              <w:rPr>
                <w:rFonts w:ascii="Verdana" w:hAnsi="Verdana" w:cstheme="minorHAnsi"/>
              </w:rPr>
              <w:t xml:space="preserve">Asphalt pavements </w:t>
            </w:r>
          </w:p>
        </w:tc>
        <w:tc>
          <w:tcPr>
            <w:tcW w:w="2835" w:type="dxa"/>
            <w:tcMar>
              <w:top w:w="57" w:type="dxa"/>
              <w:left w:w="85" w:type="dxa"/>
              <w:bottom w:w="57" w:type="dxa"/>
              <w:right w:w="28" w:type="dxa"/>
            </w:tcMar>
          </w:tcPr>
          <w:p w14:paraId="2797843B" w14:textId="585CA7F7" w:rsidR="005446C0" w:rsidRPr="00786685" w:rsidRDefault="005446C0" w:rsidP="003920CF">
            <w:pPr>
              <w:rPr>
                <w:rFonts w:ascii="Verdana" w:hAnsi="Verdana" w:cstheme="minorHAnsi"/>
              </w:rPr>
            </w:pPr>
            <w:r>
              <w:rPr>
                <w:rFonts w:ascii="Verdana" w:hAnsi="Verdana" w:cstheme="minorHAnsi"/>
                <w:lang w:val="bg-BG"/>
              </w:rPr>
              <w:t xml:space="preserve">2.1. </w:t>
            </w:r>
            <w:r w:rsidRPr="00786685">
              <w:rPr>
                <w:rFonts w:ascii="Verdana" w:hAnsi="Verdana" w:cstheme="minorHAnsi"/>
              </w:rPr>
              <w:t xml:space="preserve">Thickness of an asphalt pavement </w:t>
            </w:r>
          </w:p>
        </w:tc>
        <w:tc>
          <w:tcPr>
            <w:tcW w:w="3827" w:type="dxa"/>
            <w:tcMar>
              <w:top w:w="57" w:type="dxa"/>
              <w:left w:w="85" w:type="dxa"/>
              <w:bottom w:w="57" w:type="dxa"/>
              <w:right w:w="28" w:type="dxa"/>
            </w:tcMar>
          </w:tcPr>
          <w:p w14:paraId="7AB89370" w14:textId="79E36C72"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12697-36, </w:t>
            </w:r>
            <w:r>
              <w:rPr>
                <w:rFonts w:ascii="Verdana" w:hAnsi="Verdana" w:cstheme="minorHAnsi"/>
              </w:rPr>
              <w:t>cl.</w:t>
            </w:r>
            <w:r w:rsidRPr="00786685">
              <w:rPr>
                <w:rFonts w:ascii="Verdana" w:hAnsi="Verdana" w:cstheme="minorHAnsi"/>
              </w:rPr>
              <w:t xml:space="preserve"> 6.1</w:t>
            </w:r>
          </w:p>
        </w:tc>
      </w:tr>
      <w:tr w:rsidR="005446C0" w:rsidRPr="00786685" w14:paraId="64C9FC57" w14:textId="77777777" w:rsidTr="00323992">
        <w:tc>
          <w:tcPr>
            <w:tcW w:w="567" w:type="dxa"/>
            <w:vMerge/>
            <w:tcMar>
              <w:top w:w="57" w:type="dxa"/>
              <w:left w:w="85" w:type="dxa"/>
              <w:bottom w:w="57" w:type="dxa"/>
              <w:right w:w="28" w:type="dxa"/>
            </w:tcMar>
          </w:tcPr>
          <w:p w14:paraId="2A968CDC"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6CA695B5"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602E2B26" w14:textId="42EE151A" w:rsidR="005446C0" w:rsidRPr="00786685" w:rsidRDefault="005446C0" w:rsidP="003920CF">
            <w:pPr>
              <w:rPr>
                <w:rFonts w:ascii="Verdana" w:hAnsi="Verdana" w:cstheme="minorHAnsi"/>
              </w:rPr>
            </w:pPr>
            <w:r>
              <w:rPr>
                <w:rFonts w:ascii="Verdana" w:hAnsi="Verdana" w:cstheme="minorHAnsi"/>
                <w:lang w:val="bg-BG"/>
              </w:rPr>
              <w:t xml:space="preserve">2.2. </w:t>
            </w:r>
            <w:r w:rsidRPr="00786685">
              <w:rPr>
                <w:rFonts w:ascii="Verdana" w:hAnsi="Verdana" w:cstheme="minorHAnsi"/>
              </w:rPr>
              <w:t>Compaction rate</w:t>
            </w:r>
          </w:p>
        </w:tc>
        <w:tc>
          <w:tcPr>
            <w:tcW w:w="3827" w:type="dxa"/>
            <w:tcMar>
              <w:top w:w="57" w:type="dxa"/>
              <w:left w:w="85" w:type="dxa"/>
              <w:bottom w:w="57" w:type="dxa"/>
              <w:right w:w="28" w:type="dxa"/>
            </w:tcMar>
          </w:tcPr>
          <w:p w14:paraId="663A4730" w14:textId="1B7600F9"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12697-9**</w:t>
            </w:r>
          </w:p>
        </w:tc>
      </w:tr>
      <w:tr w:rsidR="005446C0" w:rsidRPr="00786685" w14:paraId="25B5D384" w14:textId="77777777" w:rsidTr="00323992">
        <w:tc>
          <w:tcPr>
            <w:tcW w:w="567" w:type="dxa"/>
            <w:vMerge/>
            <w:tcMar>
              <w:top w:w="57" w:type="dxa"/>
              <w:left w:w="85" w:type="dxa"/>
              <w:bottom w:w="57" w:type="dxa"/>
              <w:right w:w="28" w:type="dxa"/>
            </w:tcMar>
          </w:tcPr>
          <w:p w14:paraId="33E271C5"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11335614"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59DE2F1C" w14:textId="62E83C57" w:rsidR="005446C0" w:rsidRPr="00786685" w:rsidRDefault="005446C0" w:rsidP="003920CF">
            <w:pPr>
              <w:rPr>
                <w:rFonts w:ascii="Verdana" w:hAnsi="Verdana" w:cstheme="minorHAnsi"/>
              </w:rPr>
            </w:pPr>
            <w:r>
              <w:rPr>
                <w:rFonts w:ascii="Verdana" w:hAnsi="Verdana" w:cstheme="minorHAnsi"/>
                <w:lang w:val="bg-BG"/>
              </w:rPr>
              <w:t xml:space="preserve">2.3. </w:t>
            </w:r>
            <w:r w:rsidRPr="00786685">
              <w:rPr>
                <w:rFonts w:ascii="Verdana" w:hAnsi="Verdana" w:cstheme="minorHAnsi"/>
              </w:rPr>
              <w:t xml:space="preserve">Bulk density of asphalt specimen </w:t>
            </w:r>
            <w:r w:rsidRPr="00786685">
              <w:rPr>
                <w:rFonts w:ascii="Verdana" w:hAnsi="Verdana" w:cstheme="minorHAnsi"/>
                <w:lang w:val="bg-BG"/>
              </w:rPr>
              <w:t>(</w:t>
            </w:r>
            <w:r w:rsidRPr="00786685">
              <w:rPr>
                <w:rFonts w:ascii="Verdana" w:hAnsi="Verdana" w:cstheme="minorHAnsi"/>
              </w:rPr>
              <w:t>core)</w:t>
            </w:r>
          </w:p>
        </w:tc>
        <w:tc>
          <w:tcPr>
            <w:tcW w:w="3827" w:type="dxa"/>
            <w:tcMar>
              <w:top w:w="57" w:type="dxa"/>
              <w:left w:w="85" w:type="dxa"/>
              <w:bottom w:w="57" w:type="dxa"/>
              <w:right w:w="28" w:type="dxa"/>
            </w:tcMar>
          </w:tcPr>
          <w:p w14:paraId="3BC23D48" w14:textId="167C591C"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12697-6</w:t>
            </w:r>
          </w:p>
        </w:tc>
      </w:tr>
      <w:tr w:rsidR="005446C0" w:rsidRPr="00786685" w14:paraId="19AB8A97" w14:textId="77777777" w:rsidTr="00323992">
        <w:tc>
          <w:tcPr>
            <w:tcW w:w="567" w:type="dxa"/>
            <w:vMerge/>
            <w:tcMar>
              <w:top w:w="57" w:type="dxa"/>
              <w:left w:w="85" w:type="dxa"/>
              <w:bottom w:w="57" w:type="dxa"/>
              <w:right w:w="28" w:type="dxa"/>
            </w:tcMar>
          </w:tcPr>
          <w:p w14:paraId="4B80390F"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1119C094"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574474FC" w14:textId="68061648" w:rsidR="005446C0" w:rsidRPr="00786685" w:rsidRDefault="005446C0" w:rsidP="003920CF">
            <w:pPr>
              <w:rPr>
                <w:rFonts w:ascii="Verdana" w:hAnsi="Verdana" w:cstheme="minorHAnsi"/>
              </w:rPr>
            </w:pPr>
            <w:r>
              <w:rPr>
                <w:rFonts w:ascii="Verdana" w:hAnsi="Verdana" w:cstheme="minorHAnsi"/>
                <w:lang w:val="bg-BG"/>
              </w:rPr>
              <w:t xml:space="preserve">2.4. </w:t>
            </w:r>
            <w:r w:rsidRPr="00786685">
              <w:rPr>
                <w:rFonts w:ascii="Verdana" w:hAnsi="Verdana" w:cstheme="minorHAnsi"/>
              </w:rPr>
              <w:t>Longitudinal road pavement evenness</w:t>
            </w:r>
          </w:p>
        </w:tc>
        <w:tc>
          <w:tcPr>
            <w:tcW w:w="3827" w:type="dxa"/>
            <w:tcMar>
              <w:top w:w="57" w:type="dxa"/>
              <w:left w:w="85" w:type="dxa"/>
              <w:bottom w:w="57" w:type="dxa"/>
              <w:right w:w="28" w:type="dxa"/>
            </w:tcMar>
          </w:tcPr>
          <w:p w14:paraId="7848BDF0" w14:textId="77777777" w:rsidR="005446C0" w:rsidRPr="00786685" w:rsidRDefault="005446C0" w:rsidP="003920CF">
            <w:pPr>
              <w:rPr>
                <w:rFonts w:ascii="Verdana" w:hAnsi="Verdana" w:cstheme="minorHAnsi"/>
              </w:rPr>
            </w:pPr>
            <w:r w:rsidRPr="00786685">
              <w:rPr>
                <w:rFonts w:ascii="Verdana" w:hAnsi="Verdana" w:cstheme="minorHAnsi"/>
              </w:rPr>
              <w:t>ASTM E950</w:t>
            </w:r>
          </w:p>
        </w:tc>
      </w:tr>
      <w:tr w:rsidR="005446C0" w:rsidRPr="00786685" w14:paraId="161AA385" w14:textId="77777777" w:rsidTr="00323992">
        <w:tc>
          <w:tcPr>
            <w:tcW w:w="567" w:type="dxa"/>
            <w:vMerge/>
            <w:tcMar>
              <w:top w:w="57" w:type="dxa"/>
              <w:left w:w="85" w:type="dxa"/>
              <w:bottom w:w="57" w:type="dxa"/>
              <w:right w:w="28" w:type="dxa"/>
            </w:tcMar>
          </w:tcPr>
          <w:p w14:paraId="64F073A2"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7790F134"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38A5AC09" w14:textId="622B3603" w:rsidR="005446C0" w:rsidRPr="00786685" w:rsidRDefault="005446C0" w:rsidP="003920CF">
            <w:pPr>
              <w:rPr>
                <w:rFonts w:ascii="Verdana" w:hAnsi="Verdana" w:cstheme="minorHAnsi"/>
              </w:rPr>
            </w:pPr>
            <w:r>
              <w:rPr>
                <w:rFonts w:ascii="Verdana" w:hAnsi="Verdana" w:cstheme="minorHAnsi"/>
                <w:lang w:val="bg-BG"/>
              </w:rPr>
              <w:t xml:space="preserve">2.5. </w:t>
            </w:r>
            <w:r w:rsidRPr="00786685">
              <w:rPr>
                <w:rFonts w:ascii="Verdana" w:hAnsi="Verdana" w:cstheme="minorHAnsi"/>
              </w:rPr>
              <w:t>Bearing capacity of the pavement structure, expressed as:</w:t>
            </w:r>
          </w:p>
          <w:p w14:paraId="46C5B3AE" w14:textId="2C1CE368" w:rsidR="005446C0" w:rsidRPr="00D474A7" w:rsidRDefault="00D474A7" w:rsidP="00D474A7">
            <w:pPr>
              <w:overflowPunct/>
              <w:autoSpaceDE/>
              <w:autoSpaceDN/>
              <w:adjustRightInd/>
              <w:contextualSpacing/>
              <w:textAlignment w:val="auto"/>
              <w:rPr>
                <w:rFonts w:ascii="Verdana" w:hAnsi="Verdana" w:cstheme="minorHAnsi"/>
              </w:rPr>
            </w:pPr>
            <w:r>
              <w:rPr>
                <w:rFonts w:ascii="Verdana" w:hAnsi="Verdana" w:cstheme="minorHAnsi"/>
              </w:rPr>
              <w:t xml:space="preserve">- </w:t>
            </w:r>
            <w:r w:rsidR="005446C0" w:rsidRPr="00D474A7">
              <w:rPr>
                <w:rFonts w:ascii="Verdana" w:hAnsi="Verdana" w:cstheme="minorHAnsi"/>
              </w:rPr>
              <w:t>deflection</w:t>
            </w:r>
          </w:p>
          <w:p w14:paraId="298AEEF5" w14:textId="305792AC" w:rsidR="005446C0" w:rsidRPr="00D474A7" w:rsidRDefault="00D474A7" w:rsidP="00D474A7">
            <w:pPr>
              <w:overflowPunct/>
              <w:autoSpaceDE/>
              <w:autoSpaceDN/>
              <w:adjustRightInd/>
              <w:contextualSpacing/>
              <w:textAlignment w:val="auto"/>
              <w:rPr>
                <w:rFonts w:ascii="Verdana" w:hAnsi="Verdana" w:cstheme="minorHAnsi"/>
              </w:rPr>
            </w:pPr>
            <w:r>
              <w:rPr>
                <w:rFonts w:ascii="Verdana" w:hAnsi="Verdana" w:cstheme="minorHAnsi"/>
              </w:rPr>
              <w:t xml:space="preserve">- </w:t>
            </w:r>
            <w:r w:rsidR="005446C0" w:rsidRPr="00D474A7">
              <w:rPr>
                <w:rFonts w:ascii="Verdana" w:hAnsi="Verdana" w:cstheme="minorHAnsi"/>
              </w:rPr>
              <w:t>modulus of elasticity</w:t>
            </w:r>
          </w:p>
        </w:tc>
        <w:tc>
          <w:tcPr>
            <w:tcW w:w="3827" w:type="dxa"/>
            <w:tcMar>
              <w:top w:w="57" w:type="dxa"/>
              <w:left w:w="85" w:type="dxa"/>
              <w:bottom w:w="57" w:type="dxa"/>
              <w:right w:w="28" w:type="dxa"/>
            </w:tcMar>
          </w:tcPr>
          <w:p w14:paraId="51FDF130" w14:textId="5271F7E0"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15131</w:t>
            </w:r>
          </w:p>
        </w:tc>
      </w:tr>
      <w:tr w:rsidR="005446C0" w:rsidRPr="00786685" w14:paraId="63648719" w14:textId="77777777" w:rsidTr="00323992">
        <w:tc>
          <w:tcPr>
            <w:tcW w:w="567" w:type="dxa"/>
            <w:vMerge w:val="restart"/>
            <w:tcMar>
              <w:top w:w="57" w:type="dxa"/>
              <w:left w:w="85" w:type="dxa"/>
              <w:bottom w:w="57" w:type="dxa"/>
              <w:right w:w="28" w:type="dxa"/>
            </w:tcMar>
          </w:tcPr>
          <w:p w14:paraId="16FFDA12" w14:textId="77777777" w:rsidR="005446C0" w:rsidRPr="00786685" w:rsidRDefault="005446C0" w:rsidP="00FE6181">
            <w:pPr>
              <w:jc w:val="center"/>
              <w:rPr>
                <w:rFonts w:ascii="Verdana" w:hAnsi="Verdana" w:cstheme="minorHAnsi"/>
                <w:lang w:val="bg-BG"/>
              </w:rPr>
            </w:pPr>
            <w:r w:rsidRPr="00786685">
              <w:rPr>
                <w:rFonts w:ascii="Verdana" w:hAnsi="Verdana" w:cstheme="minorHAnsi"/>
                <w:lang w:val="bg-BG"/>
              </w:rPr>
              <w:t>3.</w:t>
            </w:r>
          </w:p>
        </w:tc>
        <w:tc>
          <w:tcPr>
            <w:tcW w:w="2126" w:type="dxa"/>
            <w:vMerge w:val="restart"/>
            <w:tcMar>
              <w:top w:w="57" w:type="dxa"/>
              <w:left w:w="85" w:type="dxa"/>
              <w:bottom w:w="57" w:type="dxa"/>
              <w:right w:w="28" w:type="dxa"/>
            </w:tcMar>
          </w:tcPr>
          <w:p w14:paraId="705D9337" w14:textId="77777777" w:rsidR="005446C0" w:rsidRPr="00786685" w:rsidRDefault="005446C0" w:rsidP="003920CF">
            <w:pPr>
              <w:rPr>
                <w:rFonts w:ascii="Verdana" w:hAnsi="Verdana" w:cstheme="minorHAnsi"/>
              </w:rPr>
            </w:pPr>
            <w:r w:rsidRPr="00786685">
              <w:rPr>
                <w:rFonts w:ascii="Verdana" w:hAnsi="Verdana" w:cstheme="minorHAnsi"/>
              </w:rPr>
              <w:t>Rock materials:</w:t>
            </w:r>
          </w:p>
          <w:p w14:paraId="50E5AB67"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4F020671" w14:textId="08887050" w:rsidR="005446C0" w:rsidRPr="00786685" w:rsidRDefault="005446C0" w:rsidP="003920CF">
            <w:pPr>
              <w:rPr>
                <w:rFonts w:ascii="Verdana" w:hAnsi="Verdana" w:cstheme="minorHAnsi"/>
                <w:lang w:val="bg-BG"/>
              </w:rPr>
            </w:pPr>
            <w:r>
              <w:rPr>
                <w:rFonts w:ascii="Verdana" w:hAnsi="Verdana" w:cstheme="minorHAnsi"/>
                <w:lang w:val="bg-BG"/>
              </w:rPr>
              <w:t xml:space="preserve">3.1. </w:t>
            </w:r>
            <w:r w:rsidRPr="00786685">
              <w:rPr>
                <w:rFonts w:ascii="Verdana" w:hAnsi="Verdana" w:cstheme="minorHAnsi"/>
              </w:rPr>
              <w:t>Granulometric content / fine fraction content</w:t>
            </w:r>
          </w:p>
        </w:tc>
        <w:tc>
          <w:tcPr>
            <w:tcW w:w="3827" w:type="dxa"/>
            <w:tcMar>
              <w:top w:w="57" w:type="dxa"/>
              <w:left w:w="85" w:type="dxa"/>
              <w:bottom w:w="57" w:type="dxa"/>
              <w:right w:w="28" w:type="dxa"/>
            </w:tcMar>
          </w:tcPr>
          <w:p w14:paraId="1BBE0222" w14:textId="08B7E5FD" w:rsidR="005446C0" w:rsidRPr="00786685" w:rsidRDefault="005446C0" w:rsidP="003920CF">
            <w:pPr>
              <w:rPr>
                <w:rFonts w:ascii="Verdana" w:hAnsi="Verdana" w:cstheme="minorHAnsi"/>
                <w:lang w:val="bg-BG"/>
              </w:rPr>
            </w:pPr>
            <w:r>
              <w:rPr>
                <w:rFonts w:ascii="Verdana" w:hAnsi="Verdana" w:cstheme="minorHAnsi"/>
              </w:rPr>
              <w:t>БДС</w:t>
            </w:r>
            <w:r w:rsidRPr="00786685">
              <w:rPr>
                <w:rFonts w:ascii="Verdana" w:hAnsi="Verdana" w:cstheme="minorHAnsi"/>
              </w:rPr>
              <w:t xml:space="preserve"> EN </w:t>
            </w:r>
            <w:r w:rsidRPr="00786685">
              <w:rPr>
                <w:rFonts w:ascii="Verdana" w:hAnsi="Verdana" w:cstheme="minorHAnsi"/>
                <w:lang w:val="bg-BG"/>
              </w:rPr>
              <w:t xml:space="preserve">933-1 </w:t>
            </w:r>
          </w:p>
        </w:tc>
      </w:tr>
      <w:tr w:rsidR="005446C0" w:rsidRPr="00786685" w14:paraId="30E51C93" w14:textId="77777777" w:rsidTr="00323992">
        <w:tc>
          <w:tcPr>
            <w:tcW w:w="567" w:type="dxa"/>
            <w:vMerge/>
            <w:tcMar>
              <w:top w:w="57" w:type="dxa"/>
              <w:left w:w="85" w:type="dxa"/>
              <w:bottom w:w="57" w:type="dxa"/>
              <w:right w:w="28" w:type="dxa"/>
            </w:tcMar>
          </w:tcPr>
          <w:p w14:paraId="229FC57E"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66682C77"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2C6C2A0D" w14:textId="0BA3A6C1" w:rsidR="005446C0" w:rsidRPr="00786685" w:rsidRDefault="005446C0" w:rsidP="003920CF">
            <w:pPr>
              <w:rPr>
                <w:rFonts w:ascii="Verdana" w:hAnsi="Verdana" w:cstheme="minorHAnsi"/>
              </w:rPr>
            </w:pPr>
            <w:r>
              <w:rPr>
                <w:rFonts w:ascii="Verdana" w:hAnsi="Verdana" w:cstheme="minorHAnsi"/>
                <w:lang w:val="bg-BG"/>
              </w:rPr>
              <w:t xml:space="preserve">3.2. </w:t>
            </w:r>
            <w:r w:rsidRPr="00786685">
              <w:rPr>
                <w:rFonts w:ascii="Verdana" w:hAnsi="Verdana" w:cstheme="minorHAnsi"/>
              </w:rPr>
              <w:t xml:space="preserve">Form coefficient </w:t>
            </w:r>
          </w:p>
        </w:tc>
        <w:tc>
          <w:tcPr>
            <w:tcW w:w="3827" w:type="dxa"/>
            <w:tcMar>
              <w:top w:w="57" w:type="dxa"/>
              <w:left w:w="85" w:type="dxa"/>
              <w:bottom w:w="57" w:type="dxa"/>
              <w:right w:w="28" w:type="dxa"/>
            </w:tcMar>
          </w:tcPr>
          <w:p w14:paraId="4C95FBAE" w14:textId="792927A6" w:rsidR="005446C0" w:rsidRPr="00786685" w:rsidRDefault="005446C0" w:rsidP="003920CF">
            <w:pPr>
              <w:rPr>
                <w:rFonts w:ascii="Verdana" w:hAnsi="Verdana" w:cstheme="minorHAnsi"/>
                <w:lang w:val="bg-BG"/>
              </w:rPr>
            </w:pPr>
            <w:r>
              <w:rPr>
                <w:rFonts w:ascii="Verdana" w:hAnsi="Verdana" w:cstheme="minorHAnsi"/>
              </w:rPr>
              <w:t>БДС</w:t>
            </w:r>
            <w:r w:rsidRPr="00786685">
              <w:rPr>
                <w:rFonts w:ascii="Verdana" w:hAnsi="Verdana" w:cstheme="minorHAnsi"/>
              </w:rPr>
              <w:t xml:space="preserve"> EN </w:t>
            </w:r>
            <w:r w:rsidRPr="00786685">
              <w:rPr>
                <w:rFonts w:ascii="Verdana" w:hAnsi="Verdana" w:cstheme="minorHAnsi"/>
                <w:lang w:val="bg-BG"/>
              </w:rPr>
              <w:t xml:space="preserve">933-4 </w:t>
            </w:r>
          </w:p>
        </w:tc>
      </w:tr>
      <w:tr w:rsidR="005446C0" w:rsidRPr="00786685" w14:paraId="395137EF" w14:textId="77777777" w:rsidTr="00323992">
        <w:tc>
          <w:tcPr>
            <w:tcW w:w="567" w:type="dxa"/>
            <w:vMerge/>
            <w:tcMar>
              <w:top w:w="57" w:type="dxa"/>
              <w:left w:w="85" w:type="dxa"/>
              <w:bottom w:w="57" w:type="dxa"/>
              <w:right w:w="28" w:type="dxa"/>
            </w:tcMar>
          </w:tcPr>
          <w:p w14:paraId="60860F7D"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120D1152"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282F53E5" w14:textId="67A6C771" w:rsidR="005446C0" w:rsidRPr="00786685" w:rsidRDefault="005446C0" w:rsidP="003920CF">
            <w:pPr>
              <w:rPr>
                <w:rFonts w:ascii="Verdana" w:hAnsi="Verdana" w:cstheme="minorHAnsi"/>
              </w:rPr>
            </w:pPr>
            <w:r>
              <w:rPr>
                <w:rFonts w:ascii="Verdana" w:hAnsi="Verdana" w:cstheme="minorHAnsi"/>
                <w:lang w:val="bg-BG"/>
              </w:rPr>
              <w:t xml:space="preserve">3.3. </w:t>
            </w:r>
            <w:r w:rsidRPr="00786685">
              <w:rPr>
                <w:rFonts w:ascii="Verdana" w:hAnsi="Verdana" w:cstheme="minorHAnsi"/>
              </w:rPr>
              <w:t xml:space="preserve">Loose bulk density and voids </w:t>
            </w:r>
          </w:p>
          <w:p w14:paraId="3AB24D63" w14:textId="77777777" w:rsidR="005446C0" w:rsidRPr="00786685" w:rsidRDefault="005446C0" w:rsidP="003920CF">
            <w:pPr>
              <w:rPr>
                <w:rFonts w:ascii="Verdana" w:hAnsi="Verdana" w:cstheme="minorHAnsi"/>
              </w:rPr>
            </w:pPr>
            <w:r w:rsidRPr="00786685">
              <w:rPr>
                <w:rFonts w:ascii="Verdana" w:hAnsi="Verdana" w:cstheme="minorHAnsi"/>
              </w:rPr>
              <w:t>- loose bulk density</w:t>
            </w:r>
          </w:p>
        </w:tc>
        <w:tc>
          <w:tcPr>
            <w:tcW w:w="3827" w:type="dxa"/>
            <w:tcMar>
              <w:top w:w="57" w:type="dxa"/>
              <w:left w:w="85" w:type="dxa"/>
              <w:bottom w:w="57" w:type="dxa"/>
              <w:right w:w="28" w:type="dxa"/>
            </w:tcMar>
          </w:tcPr>
          <w:p w14:paraId="654F9698" w14:textId="31AADE15" w:rsidR="005446C0" w:rsidRPr="00786685" w:rsidRDefault="005446C0" w:rsidP="003920CF">
            <w:pPr>
              <w:rPr>
                <w:rFonts w:ascii="Verdana" w:hAnsi="Verdana" w:cstheme="minorHAnsi"/>
                <w:lang w:val="bg-BG"/>
              </w:rPr>
            </w:pPr>
            <w:r>
              <w:rPr>
                <w:rFonts w:ascii="Verdana" w:hAnsi="Verdana" w:cstheme="minorHAnsi"/>
              </w:rPr>
              <w:t>БДС</w:t>
            </w:r>
            <w:r w:rsidRPr="00786685">
              <w:rPr>
                <w:rFonts w:ascii="Verdana" w:hAnsi="Verdana" w:cstheme="minorHAnsi"/>
              </w:rPr>
              <w:t xml:space="preserve"> EN 1097-3  </w:t>
            </w:r>
          </w:p>
        </w:tc>
      </w:tr>
      <w:tr w:rsidR="005446C0" w:rsidRPr="00786685" w14:paraId="66FBC444" w14:textId="77777777" w:rsidTr="00323992">
        <w:tc>
          <w:tcPr>
            <w:tcW w:w="567" w:type="dxa"/>
            <w:vMerge/>
            <w:tcMar>
              <w:top w:w="57" w:type="dxa"/>
              <w:left w:w="85" w:type="dxa"/>
              <w:bottom w:w="57" w:type="dxa"/>
              <w:right w:w="28" w:type="dxa"/>
            </w:tcMar>
          </w:tcPr>
          <w:p w14:paraId="7BDBA92E"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34F6565A"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7907E151" w14:textId="6478C6CB" w:rsidR="005446C0" w:rsidRPr="00786685" w:rsidRDefault="005446C0" w:rsidP="003920CF">
            <w:pPr>
              <w:rPr>
                <w:rFonts w:ascii="Verdana" w:hAnsi="Verdana" w:cstheme="minorHAnsi"/>
              </w:rPr>
            </w:pPr>
            <w:r>
              <w:rPr>
                <w:rFonts w:ascii="Verdana" w:hAnsi="Verdana" w:cstheme="minorHAnsi"/>
                <w:lang w:val="bg-BG"/>
              </w:rPr>
              <w:t xml:space="preserve">3.4. </w:t>
            </w:r>
            <w:r w:rsidRPr="00786685">
              <w:rPr>
                <w:rFonts w:ascii="Verdana" w:hAnsi="Verdana" w:cstheme="minorHAnsi"/>
              </w:rPr>
              <w:t>Water content</w:t>
            </w:r>
          </w:p>
        </w:tc>
        <w:tc>
          <w:tcPr>
            <w:tcW w:w="3827" w:type="dxa"/>
            <w:tcMar>
              <w:top w:w="57" w:type="dxa"/>
              <w:left w:w="85" w:type="dxa"/>
              <w:bottom w:w="57" w:type="dxa"/>
              <w:right w:w="28" w:type="dxa"/>
            </w:tcMar>
          </w:tcPr>
          <w:p w14:paraId="3E5BE8B9" w14:textId="124A92A5"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1097-</w:t>
            </w:r>
            <w:r w:rsidRPr="00786685">
              <w:rPr>
                <w:rFonts w:ascii="Verdana" w:hAnsi="Verdana" w:cstheme="minorHAnsi"/>
                <w:lang w:val="bg-BG"/>
              </w:rPr>
              <w:t>5</w:t>
            </w:r>
            <w:r w:rsidRPr="00786685">
              <w:rPr>
                <w:rFonts w:ascii="Verdana" w:hAnsi="Verdana" w:cstheme="minorHAnsi"/>
              </w:rPr>
              <w:t xml:space="preserve"> </w:t>
            </w:r>
          </w:p>
        </w:tc>
      </w:tr>
      <w:tr w:rsidR="005446C0" w:rsidRPr="00786685" w14:paraId="4AA89903" w14:textId="77777777" w:rsidTr="00323992">
        <w:tc>
          <w:tcPr>
            <w:tcW w:w="567" w:type="dxa"/>
            <w:vMerge/>
            <w:tcMar>
              <w:top w:w="57" w:type="dxa"/>
              <w:left w:w="85" w:type="dxa"/>
              <w:bottom w:w="57" w:type="dxa"/>
              <w:right w:w="28" w:type="dxa"/>
            </w:tcMar>
          </w:tcPr>
          <w:p w14:paraId="63A55458"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58A1A688"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31943752" w14:textId="5AAE105F" w:rsidR="005446C0" w:rsidRPr="00786685" w:rsidRDefault="005446C0" w:rsidP="003920CF">
            <w:pPr>
              <w:rPr>
                <w:rFonts w:ascii="Verdana" w:hAnsi="Verdana" w:cstheme="minorHAnsi"/>
              </w:rPr>
            </w:pPr>
            <w:r>
              <w:rPr>
                <w:rFonts w:ascii="Verdana" w:hAnsi="Verdana" w:cstheme="minorHAnsi"/>
                <w:lang w:val="bg-BG"/>
              </w:rPr>
              <w:t xml:space="preserve">3.5. </w:t>
            </w:r>
            <w:r w:rsidRPr="00786685">
              <w:rPr>
                <w:rFonts w:ascii="Verdana" w:hAnsi="Verdana" w:cstheme="minorHAnsi"/>
              </w:rPr>
              <w:t xml:space="preserve">Particle density </w:t>
            </w:r>
          </w:p>
          <w:p w14:paraId="1E1B1B8F" w14:textId="77777777" w:rsidR="005446C0" w:rsidRPr="00786685" w:rsidRDefault="005446C0" w:rsidP="003920CF">
            <w:pPr>
              <w:rPr>
                <w:rFonts w:ascii="Verdana" w:hAnsi="Verdana" w:cstheme="minorHAnsi"/>
              </w:rPr>
            </w:pPr>
            <w:r w:rsidRPr="00786685">
              <w:rPr>
                <w:rFonts w:ascii="Verdana" w:hAnsi="Verdana" w:cstheme="minorHAnsi"/>
              </w:rPr>
              <w:t xml:space="preserve">- </w:t>
            </w:r>
            <w:proofErr w:type="spellStart"/>
            <w:r w:rsidRPr="00786685">
              <w:rPr>
                <w:rFonts w:ascii="Verdana" w:hAnsi="Verdana" w:cstheme="minorHAnsi"/>
                <w:lang w:val="bg-BG"/>
              </w:rPr>
              <w:t>visible</w:t>
            </w:r>
            <w:proofErr w:type="spellEnd"/>
            <w:r w:rsidRPr="00786685">
              <w:rPr>
                <w:rFonts w:ascii="Verdana" w:hAnsi="Verdana" w:cstheme="minorHAnsi"/>
                <w:lang w:val="bg-BG"/>
              </w:rPr>
              <w:t xml:space="preserve"> </w:t>
            </w:r>
            <w:proofErr w:type="spellStart"/>
            <w:r w:rsidRPr="00786685">
              <w:rPr>
                <w:rFonts w:ascii="Verdana" w:hAnsi="Verdana" w:cstheme="minorHAnsi"/>
                <w:lang w:val="bg-BG"/>
              </w:rPr>
              <w:t>grain</w:t>
            </w:r>
            <w:proofErr w:type="spellEnd"/>
            <w:r w:rsidRPr="00786685">
              <w:rPr>
                <w:rFonts w:ascii="Verdana" w:hAnsi="Verdana" w:cstheme="minorHAnsi"/>
                <w:lang w:val="bg-BG"/>
              </w:rPr>
              <w:t xml:space="preserve"> </w:t>
            </w:r>
            <w:proofErr w:type="spellStart"/>
            <w:r w:rsidRPr="00786685">
              <w:rPr>
                <w:rFonts w:ascii="Verdana" w:hAnsi="Verdana" w:cstheme="minorHAnsi"/>
                <w:lang w:val="bg-BG"/>
              </w:rPr>
              <w:t>density</w:t>
            </w:r>
            <w:proofErr w:type="spellEnd"/>
            <w:r w:rsidRPr="00786685">
              <w:rPr>
                <w:rFonts w:ascii="Verdana" w:hAnsi="Verdana" w:cstheme="minorHAnsi"/>
                <w:lang w:val="bg-BG"/>
              </w:rPr>
              <w:t xml:space="preserve"> </w:t>
            </w:r>
            <w:proofErr w:type="spellStart"/>
            <w:r w:rsidRPr="00786685">
              <w:rPr>
                <w:rFonts w:ascii="Verdana" w:hAnsi="Verdana" w:cstheme="minorHAnsi"/>
                <w:lang w:val="bg-BG"/>
              </w:rPr>
              <w:t>in</w:t>
            </w:r>
            <w:proofErr w:type="spellEnd"/>
            <w:r w:rsidRPr="00786685">
              <w:rPr>
                <w:rFonts w:ascii="Verdana" w:hAnsi="Verdana" w:cstheme="minorHAnsi"/>
                <w:lang w:val="bg-BG"/>
              </w:rPr>
              <w:t xml:space="preserve"> </w:t>
            </w:r>
            <w:proofErr w:type="spellStart"/>
            <w:r w:rsidRPr="00786685">
              <w:rPr>
                <w:rFonts w:ascii="Verdana" w:hAnsi="Verdana" w:cstheme="minorHAnsi"/>
                <w:lang w:val="bg-BG"/>
              </w:rPr>
              <w:t>the</w:t>
            </w:r>
            <w:proofErr w:type="spellEnd"/>
            <w:r w:rsidRPr="00786685">
              <w:rPr>
                <w:rFonts w:ascii="Verdana" w:hAnsi="Verdana" w:cstheme="minorHAnsi"/>
                <w:lang w:val="bg-BG"/>
              </w:rPr>
              <w:t xml:space="preserve"> </w:t>
            </w:r>
            <w:proofErr w:type="spellStart"/>
            <w:r w:rsidRPr="00786685">
              <w:rPr>
                <w:rFonts w:ascii="Verdana" w:hAnsi="Verdana" w:cstheme="minorHAnsi"/>
                <w:lang w:val="bg-BG"/>
              </w:rPr>
              <w:t>dry</w:t>
            </w:r>
            <w:proofErr w:type="spellEnd"/>
            <w:r w:rsidRPr="00786685">
              <w:rPr>
                <w:rFonts w:ascii="Verdana" w:hAnsi="Verdana" w:cstheme="minorHAnsi"/>
                <w:lang w:val="bg-BG"/>
              </w:rPr>
              <w:t xml:space="preserve"> </w:t>
            </w:r>
            <w:proofErr w:type="spellStart"/>
            <w:r w:rsidRPr="00786685">
              <w:rPr>
                <w:rFonts w:ascii="Verdana" w:hAnsi="Verdana" w:cstheme="minorHAnsi"/>
                <w:lang w:val="bg-BG"/>
              </w:rPr>
              <w:t>state</w:t>
            </w:r>
            <w:proofErr w:type="spellEnd"/>
            <w:r w:rsidRPr="00786685">
              <w:rPr>
                <w:rFonts w:ascii="Verdana" w:hAnsi="Verdana" w:cstheme="minorHAnsi"/>
                <w:lang w:val="bg-BG"/>
              </w:rPr>
              <w:t xml:space="preserve"> </w:t>
            </w:r>
          </w:p>
          <w:p w14:paraId="10FCFD77" w14:textId="77777777" w:rsidR="005446C0" w:rsidRPr="00786685" w:rsidRDefault="005446C0" w:rsidP="003920CF">
            <w:pPr>
              <w:rPr>
                <w:rFonts w:ascii="Verdana" w:hAnsi="Verdana" w:cstheme="minorHAnsi"/>
              </w:rPr>
            </w:pPr>
            <w:r w:rsidRPr="00786685">
              <w:rPr>
                <w:rFonts w:ascii="Verdana" w:hAnsi="Verdana" w:cstheme="minorHAnsi"/>
              </w:rPr>
              <w:t>- grain density in water-saturated surface dry content</w:t>
            </w:r>
          </w:p>
          <w:p w14:paraId="549480C4" w14:textId="77777777" w:rsidR="005446C0" w:rsidRPr="00786685" w:rsidRDefault="005446C0" w:rsidP="003920CF">
            <w:pPr>
              <w:rPr>
                <w:rFonts w:ascii="Verdana" w:hAnsi="Verdana" w:cstheme="minorHAnsi"/>
              </w:rPr>
            </w:pPr>
            <w:r w:rsidRPr="00786685">
              <w:rPr>
                <w:rFonts w:ascii="Verdana" w:hAnsi="Verdana" w:cstheme="minorHAnsi"/>
              </w:rPr>
              <w:t>-gain density in dry content</w:t>
            </w:r>
          </w:p>
        </w:tc>
        <w:tc>
          <w:tcPr>
            <w:tcW w:w="3827" w:type="dxa"/>
            <w:tcMar>
              <w:top w:w="57" w:type="dxa"/>
              <w:left w:w="85" w:type="dxa"/>
              <w:bottom w:w="57" w:type="dxa"/>
              <w:right w:w="28" w:type="dxa"/>
            </w:tcMar>
          </w:tcPr>
          <w:p w14:paraId="1174FD36" w14:textId="36DDFF08" w:rsidR="00816689" w:rsidRDefault="005446C0" w:rsidP="00816689">
            <w:pPr>
              <w:rPr>
                <w:rFonts w:ascii="Verdana" w:hAnsi="Verdana" w:cstheme="minorHAnsi"/>
              </w:rPr>
            </w:pPr>
            <w:r>
              <w:rPr>
                <w:rFonts w:ascii="Verdana" w:hAnsi="Verdana" w:cstheme="minorHAnsi"/>
              </w:rPr>
              <w:t>БДС</w:t>
            </w:r>
            <w:r w:rsidRPr="00786685">
              <w:rPr>
                <w:rFonts w:ascii="Verdana" w:hAnsi="Verdana" w:cstheme="minorHAnsi"/>
              </w:rPr>
              <w:t xml:space="preserve"> EN 1097-</w:t>
            </w:r>
            <w:r w:rsidRPr="00786685">
              <w:rPr>
                <w:rFonts w:ascii="Verdana" w:hAnsi="Verdana" w:cstheme="minorHAnsi"/>
                <w:lang w:val="bg-BG"/>
              </w:rPr>
              <w:t>6</w:t>
            </w:r>
            <w:r w:rsidR="00816689">
              <w:rPr>
                <w:rFonts w:ascii="Verdana" w:hAnsi="Verdana" w:cstheme="minorHAnsi"/>
              </w:rPr>
              <w:t>,</w:t>
            </w:r>
            <w:r w:rsidRPr="00786685">
              <w:rPr>
                <w:rFonts w:ascii="Verdana" w:hAnsi="Verdana" w:cstheme="minorHAnsi"/>
              </w:rPr>
              <w:t xml:space="preserve"> </w:t>
            </w:r>
            <w:r w:rsidR="00816689">
              <w:rPr>
                <w:rFonts w:ascii="Verdana" w:hAnsi="Verdana" w:cstheme="minorHAnsi"/>
              </w:rPr>
              <w:t>cl.</w:t>
            </w:r>
            <w:r w:rsidR="00816689" w:rsidRPr="00786685">
              <w:rPr>
                <w:rFonts w:ascii="Verdana" w:hAnsi="Verdana" w:cstheme="minorHAnsi"/>
              </w:rPr>
              <w:t xml:space="preserve"> 7, </w:t>
            </w:r>
            <w:r w:rsidR="00816689">
              <w:rPr>
                <w:rFonts w:ascii="Verdana" w:hAnsi="Verdana" w:cstheme="minorHAnsi"/>
              </w:rPr>
              <w:t>cl.</w:t>
            </w:r>
            <w:r w:rsidR="00816689" w:rsidRPr="00786685">
              <w:rPr>
                <w:rFonts w:ascii="Verdana" w:hAnsi="Verdana" w:cstheme="minorHAnsi"/>
              </w:rPr>
              <w:t xml:space="preserve"> 8, </w:t>
            </w:r>
            <w:r w:rsidR="00816689">
              <w:rPr>
                <w:rFonts w:ascii="Verdana" w:hAnsi="Verdana" w:cstheme="minorHAnsi"/>
              </w:rPr>
              <w:t>cl.</w:t>
            </w:r>
            <w:r w:rsidR="00816689" w:rsidRPr="00786685">
              <w:rPr>
                <w:rFonts w:ascii="Verdana" w:hAnsi="Verdana" w:cstheme="minorHAnsi"/>
              </w:rPr>
              <w:t xml:space="preserve"> 9, </w:t>
            </w:r>
          </w:p>
          <w:p w14:paraId="7D8DB48A" w14:textId="2E5F38E0" w:rsidR="00816689" w:rsidRPr="00816689" w:rsidRDefault="00816689" w:rsidP="00816689">
            <w:pPr>
              <w:rPr>
                <w:rFonts w:ascii="Verdana" w:hAnsi="Verdana" w:cstheme="minorHAnsi"/>
              </w:rPr>
            </w:pPr>
            <w:r w:rsidRPr="00786685">
              <w:rPr>
                <w:rFonts w:ascii="Verdana" w:hAnsi="Verdana" w:cstheme="minorHAnsi"/>
              </w:rPr>
              <w:t xml:space="preserve">Annex </w:t>
            </w:r>
            <w:r>
              <w:rPr>
                <w:rFonts w:ascii="Verdana" w:hAnsi="Verdana" w:cstheme="minorHAnsi"/>
              </w:rPr>
              <w:t>A, A.3, A.4,</w:t>
            </w:r>
          </w:p>
          <w:p w14:paraId="601CC46E" w14:textId="5022C241" w:rsidR="005446C0" w:rsidRPr="00786685" w:rsidRDefault="00816689" w:rsidP="00816689">
            <w:pPr>
              <w:rPr>
                <w:rFonts w:ascii="Verdana" w:hAnsi="Verdana" w:cstheme="minorHAnsi"/>
              </w:rPr>
            </w:pPr>
            <w:r w:rsidRPr="00786685">
              <w:rPr>
                <w:rFonts w:ascii="Verdana" w:hAnsi="Verdana" w:cstheme="minorHAnsi"/>
              </w:rPr>
              <w:t xml:space="preserve">Annex </w:t>
            </w:r>
            <w:r>
              <w:rPr>
                <w:rFonts w:ascii="Verdana" w:hAnsi="Verdana" w:cstheme="minorHAnsi"/>
                <w:lang w:val="bg-BG"/>
              </w:rPr>
              <w:t>В</w:t>
            </w:r>
          </w:p>
        </w:tc>
      </w:tr>
      <w:tr w:rsidR="005446C0" w:rsidRPr="00786685" w14:paraId="11840934" w14:textId="77777777" w:rsidTr="00323992">
        <w:tc>
          <w:tcPr>
            <w:tcW w:w="567" w:type="dxa"/>
            <w:vMerge/>
            <w:tcMar>
              <w:top w:w="57" w:type="dxa"/>
              <w:left w:w="85" w:type="dxa"/>
              <w:bottom w:w="57" w:type="dxa"/>
              <w:right w:w="28" w:type="dxa"/>
            </w:tcMar>
          </w:tcPr>
          <w:p w14:paraId="4102D4E4"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24AE0FA3"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7D0911F7" w14:textId="437022B9" w:rsidR="005446C0" w:rsidRPr="00786685" w:rsidRDefault="005446C0" w:rsidP="003920CF">
            <w:pPr>
              <w:rPr>
                <w:rFonts w:ascii="Verdana" w:hAnsi="Verdana" w:cstheme="minorHAnsi"/>
              </w:rPr>
            </w:pPr>
            <w:r>
              <w:rPr>
                <w:rFonts w:ascii="Verdana" w:hAnsi="Verdana" w:cstheme="minorHAnsi"/>
                <w:lang w:val="bg-BG"/>
              </w:rPr>
              <w:t xml:space="preserve">3.6. </w:t>
            </w:r>
            <w:r w:rsidRPr="00786685">
              <w:rPr>
                <w:rFonts w:ascii="Verdana" w:hAnsi="Verdana" w:cstheme="minorHAnsi"/>
              </w:rPr>
              <w:t>Water absorption</w:t>
            </w:r>
          </w:p>
        </w:tc>
        <w:tc>
          <w:tcPr>
            <w:tcW w:w="3827" w:type="dxa"/>
            <w:tcMar>
              <w:top w:w="57" w:type="dxa"/>
              <w:left w:w="85" w:type="dxa"/>
              <w:bottom w:w="57" w:type="dxa"/>
              <w:right w:w="28" w:type="dxa"/>
            </w:tcMar>
          </w:tcPr>
          <w:p w14:paraId="73346CB1" w14:textId="1615B62E"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1097-</w:t>
            </w:r>
            <w:r w:rsidRPr="00786685">
              <w:rPr>
                <w:rFonts w:ascii="Verdana" w:hAnsi="Verdana" w:cstheme="minorHAnsi"/>
                <w:lang w:val="bg-BG"/>
              </w:rPr>
              <w:t>6</w:t>
            </w:r>
            <w:r w:rsidR="00816689">
              <w:rPr>
                <w:rFonts w:ascii="Verdana" w:hAnsi="Verdana" w:cstheme="minorHAnsi"/>
              </w:rPr>
              <w:t>,</w:t>
            </w:r>
            <w:r w:rsidRPr="00786685">
              <w:rPr>
                <w:rFonts w:ascii="Verdana" w:hAnsi="Verdana" w:cstheme="minorHAnsi"/>
              </w:rPr>
              <w:t xml:space="preserve"> </w:t>
            </w:r>
            <w:r>
              <w:rPr>
                <w:rFonts w:ascii="Verdana" w:hAnsi="Verdana" w:cstheme="minorHAnsi"/>
              </w:rPr>
              <w:t>cl.</w:t>
            </w:r>
            <w:r w:rsidRPr="00786685">
              <w:rPr>
                <w:rFonts w:ascii="Verdana" w:hAnsi="Verdana" w:cstheme="minorHAnsi"/>
              </w:rPr>
              <w:t xml:space="preserve"> 7, </w:t>
            </w:r>
            <w:r>
              <w:rPr>
                <w:rFonts w:ascii="Verdana" w:hAnsi="Verdana" w:cstheme="minorHAnsi"/>
              </w:rPr>
              <w:t>cl.</w:t>
            </w:r>
            <w:r w:rsidRPr="00786685">
              <w:rPr>
                <w:rFonts w:ascii="Verdana" w:hAnsi="Verdana" w:cstheme="minorHAnsi"/>
              </w:rPr>
              <w:t xml:space="preserve"> 8, </w:t>
            </w:r>
            <w:r>
              <w:rPr>
                <w:rFonts w:ascii="Verdana" w:hAnsi="Verdana" w:cstheme="minorHAnsi"/>
              </w:rPr>
              <w:t>cl.</w:t>
            </w:r>
            <w:r w:rsidRPr="00786685">
              <w:rPr>
                <w:rFonts w:ascii="Verdana" w:hAnsi="Verdana" w:cstheme="minorHAnsi"/>
              </w:rPr>
              <w:t xml:space="preserve"> 9, </w:t>
            </w:r>
          </w:p>
          <w:p w14:paraId="3D3ABD7C" w14:textId="15261ABC" w:rsidR="005446C0" w:rsidRPr="00112E76" w:rsidRDefault="005446C0" w:rsidP="003920CF">
            <w:pPr>
              <w:rPr>
                <w:rFonts w:ascii="Verdana" w:hAnsi="Verdana" w:cstheme="minorHAnsi"/>
                <w:lang w:val="bg-BG"/>
              </w:rPr>
            </w:pPr>
            <w:r w:rsidRPr="00786685">
              <w:rPr>
                <w:rFonts w:ascii="Verdana" w:hAnsi="Verdana" w:cstheme="minorHAnsi"/>
              </w:rPr>
              <w:t xml:space="preserve">Annex </w:t>
            </w:r>
            <w:r w:rsidR="00112E76">
              <w:rPr>
                <w:rFonts w:ascii="Verdana" w:hAnsi="Verdana" w:cstheme="minorHAnsi"/>
                <w:lang w:val="bg-BG"/>
              </w:rPr>
              <w:t>В</w:t>
            </w:r>
          </w:p>
        </w:tc>
      </w:tr>
      <w:tr w:rsidR="005446C0" w:rsidRPr="00786685" w14:paraId="0A1061D1" w14:textId="77777777" w:rsidTr="00323992">
        <w:tc>
          <w:tcPr>
            <w:tcW w:w="567" w:type="dxa"/>
            <w:vMerge/>
            <w:tcMar>
              <w:top w:w="57" w:type="dxa"/>
              <w:left w:w="85" w:type="dxa"/>
              <w:bottom w:w="57" w:type="dxa"/>
              <w:right w:w="28" w:type="dxa"/>
            </w:tcMar>
          </w:tcPr>
          <w:p w14:paraId="1161CA7D"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6FA1D288"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35833FB3" w14:textId="520BBCF2" w:rsidR="005446C0" w:rsidRPr="00786685" w:rsidRDefault="005446C0" w:rsidP="003920CF">
            <w:pPr>
              <w:rPr>
                <w:rFonts w:ascii="Verdana" w:hAnsi="Verdana" w:cstheme="minorHAnsi"/>
                <w:lang w:val="bg-BG"/>
              </w:rPr>
            </w:pPr>
            <w:r>
              <w:rPr>
                <w:rFonts w:ascii="Verdana" w:hAnsi="Verdana" w:cstheme="minorHAnsi"/>
                <w:lang w:val="bg-BG"/>
              </w:rPr>
              <w:t xml:space="preserve">3.7. </w:t>
            </w:r>
            <w:r w:rsidRPr="00786685">
              <w:rPr>
                <w:rFonts w:ascii="Verdana" w:hAnsi="Verdana" w:cstheme="minorHAnsi"/>
              </w:rPr>
              <w:t xml:space="preserve">Maximum bulk density of the skeleton and optimum water content, Proctor method </w:t>
            </w:r>
          </w:p>
        </w:tc>
        <w:tc>
          <w:tcPr>
            <w:tcW w:w="3827" w:type="dxa"/>
            <w:tcMar>
              <w:top w:w="57" w:type="dxa"/>
              <w:left w:w="85" w:type="dxa"/>
              <w:bottom w:w="57" w:type="dxa"/>
              <w:right w:w="28" w:type="dxa"/>
            </w:tcMar>
          </w:tcPr>
          <w:p w14:paraId="03377516" w14:textId="3DF6DAD1" w:rsidR="00816689"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17146</w:t>
            </w:r>
            <w:r w:rsidR="00FC739C">
              <w:rPr>
                <w:rFonts w:ascii="Verdana" w:hAnsi="Verdana" w:cstheme="minorHAnsi"/>
              </w:rPr>
              <w:t>,</w:t>
            </w:r>
            <w:r w:rsidRPr="00786685">
              <w:rPr>
                <w:rFonts w:ascii="Verdana" w:hAnsi="Verdana" w:cstheme="minorHAnsi"/>
              </w:rPr>
              <w:t xml:space="preserve"> </w:t>
            </w:r>
          </w:p>
          <w:p w14:paraId="072F8C80" w14:textId="59FABD27" w:rsidR="005446C0" w:rsidRPr="00786685" w:rsidRDefault="005446C0" w:rsidP="003920CF">
            <w:pPr>
              <w:rPr>
                <w:rFonts w:ascii="Verdana" w:hAnsi="Verdana" w:cstheme="minorHAnsi"/>
              </w:rPr>
            </w:pPr>
            <w:r w:rsidRPr="00786685">
              <w:rPr>
                <w:rFonts w:ascii="Verdana" w:hAnsi="Verdana" w:cstheme="minorHAnsi"/>
              </w:rPr>
              <w:t xml:space="preserve">testing type </w:t>
            </w:r>
          </w:p>
          <w:p w14:paraId="462DAF24" w14:textId="592C6309" w:rsidR="005446C0" w:rsidRPr="00786685" w:rsidRDefault="005446C0" w:rsidP="003920CF">
            <w:pPr>
              <w:rPr>
                <w:rFonts w:ascii="Verdana" w:hAnsi="Verdana" w:cstheme="minorHAnsi"/>
              </w:rPr>
            </w:pPr>
            <w:r w:rsidRPr="00786685">
              <w:rPr>
                <w:rFonts w:ascii="Verdana" w:hAnsi="Verdana" w:cstheme="minorHAnsi"/>
              </w:rPr>
              <w:t>H 150</w:t>
            </w:r>
            <w:r w:rsidR="00FC739C">
              <w:rPr>
                <w:rFonts w:ascii="Verdana" w:hAnsi="Verdana" w:cstheme="minorHAnsi"/>
              </w:rPr>
              <w:t>,</w:t>
            </w:r>
            <w:r w:rsidRPr="00786685">
              <w:rPr>
                <w:rFonts w:ascii="Verdana" w:hAnsi="Verdana" w:cstheme="minorHAnsi"/>
              </w:rPr>
              <w:t xml:space="preserve"> M 150</w:t>
            </w:r>
          </w:p>
          <w:p w14:paraId="61A4CB19" w14:textId="5E02BD09"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13286-2, </w:t>
            </w:r>
            <w:r>
              <w:rPr>
                <w:rFonts w:ascii="Verdana" w:hAnsi="Verdana" w:cstheme="minorHAnsi"/>
              </w:rPr>
              <w:t>cl.</w:t>
            </w:r>
            <w:r w:rsidRPr="00786685">
              <w:rPr>
                <w:rFonts w:ascii="Verdana" w:hAnsi="Verdana" w:cstheme="minorHAnsi"/>
              </w:rPr>
              <w:t xml:space="preserve"> 7.5</w:t>
            </w:r>
          </w:p>
        </w:tc>
      </w:tr>
      <w:tr w:rsidR="005446C0" w:rsidRPr="00786685" w14:paraId="232A72AF" w14:textId="77777777" w:rsidTr="00323992">
        <w:tc>
          <w:tcPr>
            <w:tcW w:w="567" w:type="dxa"/>
            <w:vMerge/>
            <w:tcMar>
              <w:top w:w="57" w:type="dxa"/>
              <w:left w:w="85" w:type="dxa"/>
              <w:bottom w:w="57" w:type="dxa"/>
              <w:right w:w="28" w:type="dxa"/>
            </w:tcMar>
          </w:tcPr>
          <w:p w14:paraId="31853956"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5EF56ABD"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697B1713" w14:textId="2345AE79" w:rsidR="005446C0" w:rsidRPr="00786685" w:rsidRDefault="005446C0" w:rsidP="003920CF">
            <w:pPr>
              <w:rPr>
                <w:rFonts w:ascii="Verdana" w:hAnsi="Verdana" w:cstheme="minorHAnsi"/>
              </w:rPr>
            </w:pPr>
            <w:r>
              <w:rPr>
                <w:rFonts w:ascii="Verdana" w:hAnsi="Verdana" w:cstheme="minorHAnsi"/>
                <w:lang w:val="bg-BG"/>
              </w:rPr>
              <w:t xml:space="preserve">3.8. </w:t>
            </w:r>
            <w:r w:rsidRPr="00786685">
              <w:rPr>
                <w:rFonts w:ascii="Verdana" w:hAnsi="Verdana" w:cstheme="minorHAnsi"/>
              </w:rPr>
              <w:t xml:space="preserve">California bearing ratio (CBR) </w:t>
            </w:r>
          </w:p>
        </w:tc>
        <w:tc>
          <w:tcPr>
            <w:tcW w:w="3827" w:type="dxa"/>
            <w:tcMar>
              <w:top w:w="57" w:type="dxa"/>
              <w:left w:w="85" w:type="dxa"/>
              <w:bottom w:w="57" w:type="dxa"/>
              <w:right w:w="28" w:type="dxa"/>
            </w:tcMar>
          </w:tcPr>
          <w:p w14:paraId="32312A24" w14:textId="66A2AB80"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13286-47 </w:t>
            </w:r>
          </w:p>
        </w:tc>
      </w:tr>
      <w:tr w:rsidR="005446C0" w:rsidRPr="00786685" w14:paraId="3D12EE4B" w14:textId="77777777" w:rsidTr="00323992">
        <w:tc>
          <w:tcPr>
            <w:tcW w:w="567" w:type="dxa"/>
            <w:vMerge/>
            <w:tcMar>
              <w:top w:w="57" w:type="dxa"/>
              <w:left w:w="85" w:type="dxa"/>
              <w:bottom w:w="57" w:type="dxa"/>
              <w:right w:w="28" w:type="dxa"/>
            </w:tcMar>
          </w:tcPr>
          <w:p w14:paraId="2E7E619E"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4173AD29"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1F664372" w14:textId="797E4A60" w:rsidR="005446C0" w:rsidRPr="00786685" w:rsidRDefault="005446C0" w:rsidP="003920CF">
            <w:pPr>
              <w:rPr>
                <w:rFonts w:ascii="Verdana" w:hAnsi="Verdana" w:cstheme="minorHAnsi"/>
              </w:rPr>
            </w:pPr>
            <w:r>
              <w:rPr>
                <w:rFonts w:ascii="Verdana" w:hAnsi="Verdana" w:cstheme="minorHAnsi"/>
                <w:lang w:val="bg-BG"/>
              </w:rPr>
              <w:t xml:space="preserve">3.9. </w:t>
            </w:r>
            <w:r w:rsidRPr="00786685">
              <w:rPr>
                <w:rFonts w:ascii="Verdana" w:hAnsi="Verdana" w:cstheme="minorHAnsi"/>
              </w:rPr>
              <w:t>Bulk density in-place by the sand-cone method</w:t>
            </w:r>
          </w:p>
        </w:tc>
        <w:tc>
          <w:tcPr>
            <w:tcW w:w="3827" w:type="dxa"/>
            <w:tcMar>
              <w:top w:w="57" w:type="dxa"/>
              <w:left w:w="85" w:type="dxa"/>
              <w:bottom w:w="57" w:type="dxa"/>
              <w:right w:w="28" w:type="dxa"/>
            </w:tcMar>
          </w:tcPr>
          <w:p w14:paraId="31363A57" w14:textId="77777777" w:rsidR="005446C0" w:rsidRPr="00786685" w:rsidRDefault="005446C0" w:rsidP="003920CF">
            <w:pPr>
              <w:rPr>
                <w:rFonts w:ascii="Verdana" w:hAnsi="Verdana" w:cstheme="minorHAnsi"/>
              </w:rPr>
            </w:pPr>
            <w:r w:rsidRPr="00786685">
              <w:rPr>
                <w:rFonts w:ascii="Verdana" w:hAnsi="Verdana" w:cstheme="minorHAnsi"/>
              </w:rPr>
              <w:t>AASHTO T 191</w:t>
            </w:r>
          </w:p>
          <w:p w14:paraId="0868F1DA" w14:textId="1F11138D" w:rsidR="005446C0" w:rsidRPr="00786685" w:rsidRDefault="005446C0" w:rsidP="003920CF">
            <w:pPr>
              <w:rPr>
                <w:rFonts w:ascii="Verdana" w:hAnsi="Verdana" w:cstheme="minorHAnsi"/>
              </w:rPr>
            </w:pPr>
            <w:r>
              <w:rPr>
                <w:rFonts w:ascii="Verdana" w:hAnsi="Verdana" w:cstheme="minorHAnsi"/>
              </w:rPr>
              <w:t>Ordinance № РД</w:t>
            </w:r>
            <w:r w:rsidRPr="00786685">
              <w:rPr>
                <w:rFonts w:ascii="Verdana" w:hAnsi="Verdana" w:cstheme="minorHAnsi"/>
              </w:rPr>
              <w:t>-02-20-2</w:t>
            </w:r>
            <w:r>
              <w:rPr>
                <w:rFonts w:ascii="Verdana" w:hAnsi="Verdana" w:cstheme="minorHAnsi"/>
              </w:rPr>
              <w:t>/ 28.08.2018</w:t>
            </w:r>
            <w:r w:rsidRPr="00786685">
              <w:rPr>
                <w:rFonts w:ascii="Verdana" w:hAnsi="Verdana" w:cstheme="minorHAnsi"/>
              </w:rPr>
              <w:t xml:space="preserve"> of the MRRB for road design</w:t>
            </w:r>
            <w:r w:rsidR="00297DCB">
              <w:rPr>
                <w:rFonts w:ascii="Verdana" w:hAnsi="Verdana" w:cstheme="minorHAnsi"/>
              </w:rPr>
              <w:t>,</w:t>
            </w:r>
            <w:r w:rsidRPr="00786685">
              <w:rPr>
                <w:rFonts w:ascii="Verdana" w:hAnsi="Verdana" w:cstheme="minorHAnsi"/>
              </w:rPr>
              <w:t xml:space="preserve"> Annex 18 </w:t>
            </w:r>
          </w:p>
        </w:tc>
      </w:tr>
      <w:tr w:rsidR="005446C0" w:rsidRPr="00786685" w14:paraId="23E03AF8" w14:textId="77777777" w:rsidTr="00323992">
        <w:tc>
          <w:tcPr>
            <w:tcW w:w="567" w:type="dxa"/>
            <w:vMerge/>
            <w:tcMar>
              <w:top w:w="57" w:type="dxa"/>
              <w:left w:w="85" w:type="dxa"/>
              <w:bottom w:w="57" w:type="dxa"/>
              <w:right w:w="28" w:type="dxa"/>
            </w:tcMar>
          </w:tcPr>
          <w:p w14:paraId="1A4C92A2"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06A20D19"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6D165C08" w14:textId="443D23F0" w:rsidR="005446C0" w:rsidRPr="00786685" w:rsidRDefault="005446C0" w:rsidP="003920CF">
            <w:pPr>
              <w:rPr>
                <w:rFonts w:ascii="Verdana" w:hAnsi="Verdana" w:cstheme="minorHAnsi"/>
                <w:lang w:val="bg-BG"/>
              </w:rPr>
            </w:pPr>
            <w:r>
              <w:rPr>
                <w:rFonts w:ascii="Verdana" w:hAnsi="Verdana" w:cstheme="minorHAnsi"/>
                <w:lang w:val="bg-BG"/>
              </w:rPr>
              <w:t xml:space="preserve">3.10. </w:t>
            </w:r>
            <w:r w:rsidRPr="00786685">
              <w:rPr>
                <w:rFonts w:ascii="Verdana" w:hAnsi="Verdana" w:cstheme="minorHAnsi"/>
              </w:rPr>
              <w:t xml:space="preserve">Elastic and deformation module by load with a round plate </w:t>
            </w:r>
            <w:r w:rsidR="005A12D8" w:rsidRPr="00413EF9">
              <w:rPr>
                <w:rFonts w:ascii="Verdana" w:hAnsi="Verdana" w:cstheme="minorHAnsi"/>
                <w:i/>
                <w:iCs/>
                <w:lang w:val="bg-BG"/>
              </w:rPr>
              <w:t>Φ</w:t>
            </w:r>
            <w:r w:rsidRPr="00786685">
              <w:rPr>
                <w:rFonts w:ascii="Verdana" w:hAnsi="Verdana" w:cstheme="minorHAnsi"/>
                <w:lang w:val="bg-BG"/>
              </w:rPr>
              <w:t>300</w:t>
            </w:r>
          </w:p>
          <w:p w14:paraId="0DD598F8" w14:textId="77777777" w:rsidR="005446C0" w:rsidRPr="00786685" w:rsidRDefault="005446C0" w:rsidP="003920CF">
            <w:pPr>
              <w:rPr>
                <w:rFonts w:ascii="Verdana" w:hAnsi="Verdana" w:cstheme="minorHAnsi"/>
              </w:rPr>
            </w:pPr>
            <w:r w:rsidRPr="00786685">
              <w:rPr>
                <w:rFonts w:ascii="Verdana" w:hAnsi="Verdana" w:cstheme="minorHAnsi"/>
              </w:rPr>
              <w:t xml:space="preserve">- elastic module </w:t>
            </w:r>
          </w:p>
          <w:p w14:paraId="565A1186" w14:textId="77777777" w:rsidR="005446C0" w:rsidRPr="00786685" w:rsidRDefault="005446C0" w:rsidP="003920CF">
            <w:pPr>
              <w:rPr>
                <w:rFonts w:ascii="Verdana" w:hAnsi="Verdana" w:cstheme="minorHAnsi"/>
              </w:rPr>
            </w:pPr>
            <w:r w:rsidRPr="00786685">
              <w:rPr>
                <w:rFonts w:ascii="Verdana" w:hAnsi="Verdana" w:cstheme="minorHAnsi"/>
              </w:rPr>
              <w:t xml:space="preserve">- deformation module </w:t>
            </w:r>
          </w:p>
          <w:p w14:paraId="585F1AB1" w14:textId="77777777" w:rsidR="005446C0" w:rsidRPr="00786685" w:rsidRDefault="005446C0" w:rsidP="003920CF">
            <w:pPr>
              <w:rPr>
                <w:rFonts w:ascii="Verdana" w:hAnsi="Verdana" w:cstheme="minorHAnsi"/>
              </w:rPr>
            </w:pPr>
            <w:r w:rsidRPr="00786685">
              <w:rPr>
                <w:rFonts w:ascii="Verdana" w:hAnsi="Verdana" w:cstheme="minorHAnsi"/>
              </w:rPr>
              <w:t xml:space="preserve">- relation of the deformation modules </w:t>
            </w:r>
          </w:p>
          <w:p w14:paraId="538FF069" w14:textId="77777777" w:rsidR="005446C0" w:rsidRPr="00786685" w:rsidRDefault="005446C0" w:rsidP="003920CF">
            <w:pPr>
              <w:rPr>
                <w:rFonts w:ascii="Verdana" w:hAnsi="Verdana" w:cstheme="minorHAnsi"/>
              </w:rPr>
            </w:pPr>
            <w:r w:rsidRPr="00786685">
              <w:rPr>
                <w:rFonts w:ascii="Verdana" w:hAnsi="Verdana" w:cstheme="minorHAnsi"/>
              </w:rPr>
              <w:t>E2/E1</w:t>
            </w:r>
          </w:p>
        </w:tc>
        <w:tc>
          <w:tcPr>
            <w:tcW w:w="3827" w:type="dxa"/>
            <w:tcMar>
              <w:top w:w="57" w:type="dxa"/>
              <w:left w:w="85" w:type="dxa"/>
              <w:bottom w:w="57" w:type="dxa"/>
              <w:right w:w="28" w:type="dxa"/>
            </w:tcMar>
          </w:tcPr>
          <w:p w14:paraId="5406CC80" w14:textId="7E81711F"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15130 </w:t>
            </w:r>
          </w:p>
        </w:tc>
      </w:tr>
      <w:tr w:rsidR="005446C0" w:rsidRPr="00786685" w14:paraId="35374397" w14:textId="77777777" w:rsidTr="00323992">
        <w:tc>
          <w:tcPr>
            <w:tcW w:w="567" w:type="dxa"/>
            <w:vMerge/>
            <w:tcMar>
              <w:top w:w="57" w:type="dxa"/>
              <w:left w:w="85" w:type="dxa"/>
              <w:bottom w:w="57" w:type="dxa"/>
              <w:right w:w="28" w:type="dxa"/>
            </w:tcMar>
          </w:tcPr>
          <w:p w14:paraId="6C430838"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629F3B29"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4911EC08" w14:textId="5173ED0F" w:rsidR="005446C0" w:rsidRPr="00786685" w:rsidRDefault="005446C0" w:rsidP="003920CF">
            <w:pPr>
              <w:rPr>
                <w:rFonts w:ascii="Verdana" w:hAnsi="Verdana" w:cstheme="minorHAnsi"/>
              </w:rPr>
            </w:pPr>
            <w:r>
              <w:rPr>
                <w:rFonts w:ascii="Verdana" w:hAnsi="Verdana" w:cstheme="minorHAnsi"/>
                <w:lang w:val="bg-BG"/>
              </w:rPr>
              <w:t xml:space="preserve">3.11. </w:t>
            </w:r>
            <w:r w:rsidRPr="00786685">
              <w:rPr>
                <w:rFonts w:ascii="Verdana" w:hAnsi="Verdana" w:cstheme="minorHAnsi"/>
              </w:rPr>
              <w:t>Sand equivalent</w:t>
            </w:r>
          </w:p>
        </w:tc>
        <w:tc>
          <w:tcPr>
            <w:tcW w:w="3827" w:type="dxa"/>
            <w:tcMar>
              <w:top w:w="57" w:type="dxa"/>
              <w:left w:w="85" w:type="dxa"/>
              <w:bottom w:w="57" w:type="dxa"/>
              <w:right w:w="28" w:type="dxa"/>
            </w:tcMar>
          </w:tcPr>
          <w:p w14:paraId="4F98D52F" w14:textId="01938066"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933-8+A1</w:t>
            </w:r>
          </w:p>
        </w:tc>
      </w:tr>
      <w:tr w:rsidR="005446C0" w:rsidRPr="00786685" w14:paraId="2A15B750" w14:textId="77777777" w:rsidTr="00323992">
        <w:tc>
          <w:tcPr>
            <w:tcW w:w="567" w:type="dxa"/>
            <w:vMerge/>
            <w:tcMar>
              <w:top w:w="57" w:type="dxa"/>
              <w:left w:w="85" w:type="dxa"/>
              <w:bottom w:w="57" w:type="dxa"/>
              <w:right w:w="28" w:type="dxa"/>
            </w:tcMar>
          </w:tcPr>
          <w:p w14:paraId="2428D7B1"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4DE760FD"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245B744D" w14:textId="7F5C896E" w:rsidR="005446C0" w:rsidRPr="00786685" w:rsidRDefault="005446C0" w:rsidP="003920CF">
            <w:pPr>
              <w:rPr>
                <w:rFonts w:ascii="Verdana" w:hAnsi="Verdana" w:cstheme="minorHAnsi"/>
                <w:lang w:val="bg-BG"/>
              </w:rPr>
            </w:pPr>
            <w:r>
              <w:rPr>
                <w:rFonts w:ascii="Verdana" w:hAnsi="Verdana" w:cstheme="minorHAnsi"/>
                <w:lang w:val="bg-BG"/>
              </w:rPr>
              <w:t xml:space="preserve">3.12. </w:t>
            </w:r>
            <w:proofErr w:type="spellStart"/>
            <w:r w:rsidRPr="00786685">
              <w:rPr>
                <w:rFonts w:ascii="Verdana" w:hAnsi="Verdana" w:cstheme="minorHAnsi"/>
                <w:lang w:val="bg-BG"/>
              </w:rPr>
              <w:t>Flat</w:t>
            </w:r>
            <w:proofErr w:type="spellEnd"/>
            <w:r w:rsidRPr="00786685">
              <w:rPr>
                <w:rFonts w:ascii="Verdana" w:hAnsi="Verdana" w:cstheme="minorHAnsi"/>
                <w:lang w:val="bg-BG"/>
              </w:rPr>
              <w:t xml:space="preserve"> </w:t>
            </w:r>
            <w:proofErr w:type="spellStart"/>
            <w:r w:rsidRPr="00786685">
              <w:rPr>
                <w:rFonts w:ascii="Verdana" w:hAnsi="Verdana" w:cstheme="minorHAnsi"/>
                <w:lang w:val="bg-BG"/>
              </w:rPr>
              <w:t>grain</w:t>
            </w:r>
            <w:proofErr w:type="spellEnd"/>
            <w:r w:rsidRPr="00786685">
              <w:rPr>
                <w:rFonts w:ascii="Verdana" w:hAnsi="Verdana" w:cstheme="minorHAnsi"/>
                <w:lang w:val="bg-BG"/>
              </w:rPr>
              <w:t xml:space="preserve"> </w:t>
            </w:r>
            <w:proofErr w:type="spellStart"/>
            <w:r w:rsidRPr="00786685">
              <w:rPr>
                <w:rFonts w:ascii="Verdana" w:hAnsi="Verdana" w:cstheme="minorHAnsi"/>
                <w:lang w:val="bg-BG"/>
              </w:rPr>
              <w:t>index</w:t>
            </w:r>
            <w:proofErr w:type="spellEnd"/>
            <w:r w:rsidRPr="00786685">
              <w:rPr>
                <w:rFonts w:ascii="Verdana" w:hAnsi="Verdana" w:cstheme="minorHAnsi"/>
                <w:lang w:val="bg-BG"/>
              </w:rPr>
              <w:t xml:space="preserve"> </w:t>
            </w:r>
          </w:p>
        </w:tc>
        <w:tc>
          <w:tcPr>
            <w:tcW w:w="3827" w:type="dxa"/>
            <w:tcMar>
              <w:top w:w="57" w:type="dxa"/>
              <w:left w:w="85" w:type="dxa"/>
              <w:bottom w:w="57" w:type="dxa"/>
              <w:right w:w="28" w:type="dxa"/>
            </w:tcMar>
          </w:tcPr>
          <w:p w14:paraId="63896C89" w14:textId="0645AF19"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933-3  </w:t>
            </w:r>
          </w:p>
        </w:tc>
      </w:tr>
      <w:tr w:rsidR="005446C0" w:rsidRPr="00786685" w14:paraId="72D7A175" w14:textId="77777777" w:rsidTr="00323992">
        <w:tc>
          <w:tcPr>
            <w:tcW w:w="567" w:type="dxa"/>
            <w:vMerge/>
            <w:tcMar>
              <w:top w:w="57" w:type="dxa"/>
              <w:left w:w="85" w:type="dxa"/>
              <w:bottom w:w="57" w:type="dxa"/>
              <w:right w:w="28" w:type="dxa"/>
            </w:tcMar>
          </w:tcPr>
          <w:p w14:paraId="1E262EFD"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39E558DB"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31644EA0" w14:textId="1474A42A" w:rsidR="005446C0" w:rsidRPr="00786685" w:rsidRDefault="005446C0" w:rsidP="003920CF">
            <w:pPr>
              <w:rPr>
                <w:rFonts w:ascii="Verdana" w:hAnsi="Verdana" w:cstheme="minorHAnsi"/>
              </w:rPr>
            </w:pPr>
            <w:r>
              <w:rPr>
                <w:rFonts w:ascii="Verdana" w:hAnsi="Verdana" w:cstheme="minorHAnsi"/>
                <w:lang w:val="bg-BG"/>
              </w:rPr>
              <w:t xml:space="preserve">3.13. </w:t>
            </w:r>
            <w:proofErr w:type="spellStart"/>
            <w:r w:rsidRPr="00786685">
              <w:rPr>
                <w:rFonts w:ascii="Verdana" w:hAnsi="Verdana" w:cstheme="minorHAnsi"/>
              </w:rPr>
              <w:t>Frostresistance</w:t>
            </w:r>
            <w:proofErr w:type="spellEnd"/>
            <w:r w:rsidRPr="00786685">
              <w:rPr>
                <w:rFonts w:ascii="Verdana" w:hAnsi="Verdana" w:cstheme="minorHAnsi"/>
                <w:lang w:val="bg-BG"/>
              </w:rPr>
              <w:t xml:space="preserve">. </w:t>
            </w:r>
            <w:r w:rsidRPr="00786685">
              <w:rPr>
                <w:rFonts w:ascii="Verdana" w:hAnsi="Verdana" w:cstheme="minorHAnsi"/>
              </w:rPr>
              <w:t>Magnesium sulfate method (MgSO4)</w:t>
            </w:r>
          </w:p>
        </w:tc>
        <w:tc>
          <w:tcPr>
            <w:tcW w:w="3827" w:type="dxa"/>
            <w:tcMar>
              <w:top w:w="57" w:type="dxa"/>
              <w:left w:w="85" w:type="dxa"/>
              <w:bottom w:w="57" w:type="dxa"/>
              <w:right w:w="28" w:type="dxa"/>
            </w:tcMar>
          </w:tcPr>
          <w:p w14:paraId="70291355" w14:textId="5263DFF0"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1367-2 </w:t>
            </w:r>
          </w:p>
        </w:tc>
      </w:tr>
      <w:tr w:rsidR="005446C0" w:rsidRPr="00786685" w14:paraId="449D5D22" w14:textId="77777777" w:rsidTr="00323992">
        <w:tc>
          <w:tcPr>
            <w:tcW w:w="567" w:type="dxa"/>
            <w:vMerge/>
            <w:tcMar>
              <w:top w:w="57" w:type="dxa"/>
              <w:left w:w="85" w:type="dxa"/>
              <w:bottom w:w="57" w:type="dxa"/>
              <w:right w:w="28" w:type="dxa"/>
            </w:tcMar>
          </w:tcPr>
          <w:p w14:paraId="5559EFD4"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76526843"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30CEAEF8" w14:textId="7C2B28C5" w:rsidR="005446C0" w:rsidRPr="00786685" w:rsidRDefault="005446C0" w:rsidP="003920CF">
            <w:pPr>
              <w:rPr>
                <w:rFonts w:ascii="Verdana" w:hAnsi="Verdana" w:cstheme="minorHAnsi"/>
              </w:rPr>
            </w:pPr>
            <w:r>
              <w:rPr>
                <w:rFonts w:ascii="Verdana" w:hAnsi="Verdana" w:cstheme="minorHAnsi"/>
                <w:lang w:val="bg-BG"/>
              </w:rPr>
              <w:t xml:space="preserve">3.14. </w:t>
            </w:r>
            <w:r w:rsidRPr="00786685">
              <w:rPr>
                <w:rFonts w:ascii="Verdana" w:hAnsi="Verdana" w:cstheme="minorHAnsi"/>
              </w:rPr>
              <w:t>Degree</w:t>
            </w:r>
            <w:r w:rsidRPr="00786685">
              <w:rPr>
                <w:rFonts w:ascii="Verdana" w:hAnsi="Verdana" w:cstheme="minorHAnsi"/>
                <w:lang w:val="bg-BG"/>
              </w:rPr>
              <w:t xml:space="preserve"> </w:t>
            </w:r>
            <w:r w:rsidRPr="00786685">
              <w:rPr>
                <w:rFonts w:ascii="Verdana" w:hAnsi="Verdana" w:cstheme="minorHAnsi"/>
              </w:rPr>
              <w:t>of compaction</w:t>
            </w:r>
          </w:p>
        </w:tc>
        <w:tc>
          <w:tcPr>
            <w:tcW w:w="3827" w:type="dxa"/>
            <w:tcMar>
              <w:top w:w="57" w:type="dxa"/>
              <w:left w:w="85" w:type="dxa"/>
              <w:bottom w:w="57" w:type="dxa"/>
              <w:right w:w="28" w:type="dxa"/>
            </w:tcMar>
          </w:tcPr>
          <w:p w14:paraId="041B32AB" w14:textId="77777777" w:rsidR="005446C0" w:rsidRPr="00786685" w:rsidRDefault="005446C0" w:rsidP="003920CF">
            <w:pPr>
              <w:rPr>
                <w:rFonts w:ascii="Verdana" w:hAnsi="Verdana" w:cstheme="minorHAnsi"/>
              </w:rPr>
            </w:pPr>
            <w:r w:rsidRPr="00786685">
              <w:rPr>
                <w:rFonts w:ascii="Verdana" w:hAnsi="Verdana" w:cstheme="minorHAnsi"/>
              </w:rPr>
              <w:t>AASHTO T 191</w:t>
            </w:r>
          </w:p>
          <w:p w14:paraId="2273840B" w14:textId="6D27D65F" w:rsidR="005446C0" w:rsidRPr="00786685" w:rsidRDefault="005446C0" w:rsidP="003920CF">
            <w:pPr>
              <w:rPr>
                <w:rFonts w:ascii="Verdana" w:hAnsi="Verdana" w:cstheme="minorHAnsi"/>
              </w:rPr>
            </w:pPr>
            <w:r>
              <w:rPr>
                <w:rFonts w:ascii="Verdana" w:hAnsi="Verdana" w:cstheme="minorHAnsi"/>
              </w:rPr>
              <w:t>Ordinance № РД</w:t>
            </w:r>
            <w:r w:rsidRPr="00786685">
              <w:rPr>
                <w:rFonts w:ascii="Verdana" w:hAnsi="Verdana" w:cstheme="minorHAnsi"/>
              </w:rPr>
              <w:t>-02-20-2</w:t>
            </w:r>
            <w:r>
              <w:rPr>
                <w:rFonts w:ascii="Verdana" w:hAnsi="Verdana" w:cstheme="minorHAnsi"/>
              </w:rPr>
              <w:t>/ 28.08.2018</w:t>
            </w:r>
            <w:r w:rsidRPr="00786685">
              <w:rPr>
                <w:rFonts w:ascii="Verdana" w:hAnsi="Verdana" w:cstheme="minorHAnsi"/>
              </w:rPr>
              <w:t xml:space="preserve"> of the MRRB for road design</w:t>
            </w:r>
            <w:r w:rsidR="00297DCB">
              <w:rPr>
                <w:rFonts w:ascii="Verdana" w:hAnsi="Verdana" w:cstheme="minorHAnsi"/>
              </w:rPr>
              <w:t>,</w:t>
            </w:r>
            <w:r w:rsidRPr="00786685">
              <w:rPr>
                <w:rFonts w:ascii="Verdana" w:hAnsi="Verdana" w:cstheme="minorHAnsi"/>
              </w:rPr>
              <w:t xml:space="preserve"> Annex 18</w:t>
            </w:r>
          </w:p>
        </w:tc>
      </w:tr>
      <w:tr w:rsidR="005446C0" w:rsidRPr="00786685" w14:paraId="55EFC958" w14:textId="77777777" w:rsidTr="00323992">
        <w:tc>
          <w:tcPr>
            <w:tcW w:w="567" w:type="dxa"/>
            <w:vMerge w:val="restart"/>
            <w:tcMar>
              <w:top w:w="57" w:type="dxa"/>
              <w:left w:w="85" w:type="dxa"/>
              <w:bottom w:w="57" w:type="dxa"/>
              <w:right w:w="28" w:type="dxa"/>
            </w:tcMar>
          </w:tcPr>
          <w:p w14:paraId="640AB199" w14:textId="77777777" w:rsidR="005446C0" w:rsidRPr="00786685" w:rsidRDefault="005446C0" w:rsidP="00FE6181">
            <w:pPr>
              <w:jc w:val="center"/>
              <w:rPr>
                <w:rFonts w:ascii="Verdana" w:hAnsi="Verdana" w:cstheme="minorHAnsi"/>
                <w:lang w:val="bg-BG"/>
              </w:rPr>
            </w:pPr>
            <w:r w:rsidRPr="00786685">
              <w:rPr>
                <w:rFonts w:ascii="Verdana" w:hAnsi="Verdana" w:cstheme="minorHAnsi"/>
                <w:lang w:val="bg-BG"/>
              </w:rPr>
              <w:lastRenderedPageBreak/>
              <w:t>4.</w:t>
            </w:r>
          </w:p>
        </w:tc>
        <w:tc>
          <w:tcPr>
            <w:tcW w:w="2126" w:type="dxa"/>
            <w:vMerge w:val="restart"/>
            <w:tcMar>
              <w:top w:w="57" w:type="dxa"/>
              <w:left w:w="85" w:type="dxa"/>
              <w:bottom w:w="57" w:type="dxa"/>
              <w:right w:w="28" w:type="dxa"/>
            </w:tcMar>
          </w:tcPr>
          <w:p w14:paraId="094C2908" w14:textId="77777777" w:rsidR="005446C0" w:rsidRPr="00786685" w:rsidRDefault="005446C0" w:rsidP="003920CF">
            <w:pPr>
              <w:rPr>
                <w:rFonts w:ascii="Verdana" w:hAnsi="Verdana" w:cstheme="minorHAnsi"/>
              </w:rPr>
            </w:pPr>
            <w:r w:rsidRPr="00786685">
              <w:rPr>
                <w:rFonts w:ascii="Verdana" w:hAnsi="Verdana" w:cstheme="minorHAnsi"/>
              </w:rPr>
              <w:t xml:space="preserve">Mineral flour </w:t>
            </w:r>
          </w:p>
        </w:tc>
        <w:tc>
          <w:tcPr>
            <w:tcW w:w="2835" w:type="dxa"/>
            <w:tcMar>
              <w:top w:w="57" w:type="dxa"/>
              <w:left w:w="85" w:type="dxa"/>
              <w:bottom w:w="57" w:type="dxa"/>
              <w:right w:w="28" w:type="dxa"/>
            </w:tcMar>
          </w:tcPr>
          <w:p w14:paraId="1BDC119B" w14:textId="4523BF90" w:rsidR="005446C0" w:rsidRPr="00786685" w:rsidRDefault="005446C0" w:rsidP="003920CF">
            <w:pPr>
              <w:rPr>
                <w:rFonts w:ascii="Verdana" w:hAnsi="Verdana" w:cstheme="minorHAnsi"/>
                <w:lang w:val="bg-BG"/>
              </w:rPr>
            </w:pPr>
            <w:r>
              <w:rPr>
                <w:rFonts w:ascii="Verdana" w:hAnsi="Verdana" w:cstheme="minorHAnsi"/>
                <w:lang w:val="bg-BG"/>
              </w:rPr>
              <w:t xml:space="preserve">4.1. </w:t>
            </w:r>
            <w:r w:rsidRPr="00786685">
              <w:rPr>
                <w:rFonts w:ascii="Verdana" w:hAnsi="Verdana" w:cstheme="minorHAnsi"/>
              </w:rPr>
              <w:t>Granulometric content / fine fraction content</w:t>
            </w:r>
          </w:p>
        </w:tc>
        <w:tc>
          <w:tcPr>
            <w:tcW w:w="3827" w:type="dxa"/>
            <w:tcMar>
              <w:top w:w="57" w:type="dxa"/>
              <w:left w:w="85" w:type="dxa"/>
              <w:bottom w:w="57" w:type="dxa"/>
              <w:right w:w="28" w:type="dxa"/>
            </w:tcMar>
          </w:tcPr>
          <w:p w14:paraId="649C2978" w14:textId="089D798E"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933-1</w:t>
            </w:r>
          </w:p>
        </w:tc>
      </w:tr>
      <w:tr w:rsidR="005446C0" w:rsidRPr="00786685" w14:paraId="5482CBD2" w14:textId="77777777" w:rsidTr="00323992">
        <w:tc>
          <w:tcPr>
            <w:tcW w:w="567" w:type="dxa"/>
            <w:vMerge/>
            <w:tcMar>
              <w:top w:w="57" w:type="dxa"/>
              <w:left w:w="85" w:type="dxa"/>
              <w:bottom w:w="57" w:type="dxa"/>
              <w:right w:w="28" w:type="dxa"/>
            </w:tcMar>
          </w:tcPr>
          <w:p w14:paraId="6B0C0C42"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483F3145"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517596C0" w14:textId="1F38D43D" w:rsidR="005446C0" w:rsidRPr="00786685" w:rsidRDefault="005446C0" w:rsidP="003920CF">
            <w:pPr>
              <w:rPr>
                <w:rFonts w:ascii="Verdana" w:hAnsi="Verdana" w:cstheme="minorHAnsi"/>
              </w:rPr>
            </w:pPr>
            <w:r>
              <w:rPr>
                <w:rFonts w:ascii="Verdana" w:hAnsi="Verdana" w:cstheme="minorHAnsi"/>
                <w:lang w:val="bg-BG"/>
              </w:rPr>
              <w:t xml:space="preserve">4.2. </w:t>
            </w:r>
            <w:r w:rsidRPr="00786685">
              <w:rPr>
                <w:rFonts w:ascii="Verdana" w:hAnsi="Verdana" w:cstheme="minorHAnsi"/>
              </w:rPr>
              <w:t>Water content</w:t>
            </w:r>
          </w:p>
        </w:tc>
        <w:tc>
          <w:tcPr>
            <w:tcW w:w="3827" w:type="dxa"/>
            <w:tcMar>
              <w:top w:w="57" w:type="dxa"/>
              <w:left w:w="85" w:type="dxa"/>
              <w:bottom w:w="57" w:type="dxa"/>
              <w:right w:w="28" w:type="dxa"/>
            </w:tcMar>
          </w:tcPr>
          <w:p w14:paraId="27251426" w14:textId="4D6ED552"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1097-5</w:t>
            </w:r>
          </w:p>
        </w:tc>
      </w:tr>
      <w:tr w:rsidR="005446C0" w:rsidRPr="00786685" w14:paraId="7B2C815E" w14:textId="77777777" w:rsidTr="00323992">
        <w:tc>
          <w:tcPr>
            <w:tcW w:w="567" w:type="dxa"/>
            <w:vMerge w:val="restart"/>
            <w:tcMar>
              <w:top w:w="57" w:type="dxa"/>
              <w:left w:w="85" w:type="dxa"/>
              <w:bottom w:w="57" w:type="dxa"/>
              <w:right w:w="28" w:type="dxa"/>
            </w:tcMar>
          </w:tcPr>
          <w:p w14:paraId="38D22536" w14:textId="77777777" w:rsidR="005446C0" w:rsidRPr="00786685" w:rsidRDefault="005446C0" w:rsidP="00FE6181">
            <w:pPr>
              <w:jc w:val="center"/>
              <w:rPr>
                <w:rFonts w:ascii="Verdana" w:hAnsi="Verdana" w:cstheme="minorHAnsi"/>
                <w:lang w:val="bg-BG"/>
              </w:rPr>
            </w:pPr>
            <w:r w:rsidRPr="00786685">
              <w:rPr>
                <w:rFonts w:ascii="Verdana" w:hAnsi="Verdana" w:cstheme="minorHAnsi"/>
                <w:lang w:val="bg-BG"/>
              </w:rPr>
              <w:t>5.</w:t>
            </w:r>
          </w:p>
        </w:tc>
        <w:tc>
          <w:tcPr>
            <w:tcW w:w="2126" w:type="dxa"/>
            <w:vMerge w:val="restart"/>
            <w:tcMar>
              <w:top w:w="57" w:type="dxa"/>
              <w:left w:w="85" w:type="dxa"/>
              <w:bottom w:w="57" w:type="dxa"/>
              <w:right w:w="28" w:type="dxa"/>
            </w:tcMar>
          </w:tcPr>
          <w:p w14:paraId="70EA4E00" w14:textId="77777777" w:rsidR="005446C0" w:rsidRPr="00786685" w:rsidRDefault="005446C0" w:rsidP="003920CF">
            <w:pPr>
              <w:rPr>
                <w:rFonts w:ascii="Verdana" w:hAnsi="Verdana" w:cstheme="minorHAnsi"/>
              </w:rPr>
            </w:pPr>
            <w:proofErr w:type="spellStart"/>
            <w:r w:rsidRPr="00786685">
              <w:rPr>
                <w:rFonts w:ascii="Verdana" w:hAnsi="Verdana" w:cstheme="minorHAnsi"/>
              </w:rPr>
              <w:t>Bitumens</w:t>
            </w:r>
            <w:proofErr w:type="spellEnd"/>
            <w:r w:rsidRPr="00786685">
              <w:rPr>
                <w:rFonts w:ascii="Verdana" w:hAnsi="Verdana" w:cstheme="minorHAnsi"/>
              </w:rPr>
              <w:t xml:space="preserve"> and bituminous binders</w:t>
            </w:r>
          </w:p>
        </w:tc>
        <w:tc>
          <w:tcPr>
            <w:tcW w:w="2835" w:type="dxa"/>
            <w:tcMar>
              <w:top w:w="57" w:type="dxa"/>
              <w:left w:w="85" w:type="dxa"/>
              <w:bottom w:w="57" w:type="dxa"/>
              <w:right w:w="28" w:type="dxa"/>
            </w:tcMar>
          </w:tcPr>
          <w:p w14:paraId="2DC04FAA" w14:textId="7790699A" w:rsidR="005446C0" w:rsidRPr="00786685" w:rsidRDefault="005446C0" w:rsidP="003920CF">
            <w:pPr>
              <w:rPr>
                <w:rFonts w:ascii="Verdana" w:hAnsi="Verdana" w:cstheme="minorHAnsi"/>
              </w:rPr>
            </w:pPr>
            <w:r>
              <w:rPr>
                <w:rFonts w:ascii="Verdana" w:hAnsi="Verdana" w:cstheme="minorHAnsi"/>
                <w:lang w:val="bg-BG"/>
              </w:rPr>
              <w:t xml:space="preserve">5.1. </w:t>
            </w:r>
            <w:r w:rsidRPr="00786685">
              <w:rPr>
                <w:rFonts w:ascii="Verdana" w:hAnsi="Verdana" w:cstheme="minorHAnsi"/>
              </w:rPr>
              <w:t xml:space="preserve">Penetration </w:t>
            </w:r>
          </w:p>
        </w:tc>
        <w:tc>
          <w:tcPr>
            <w:tcW w:w="3827" w:type="dxa"/>
            <w:tcMar>
              <w:top w:w="57" w:type="dxa"/>
              <w:left w:w="85" w:type="dxa"/>
              <w:bottom w:w="57" w:type="dxa"/>
              <w:right w:w="28" w:type="dxa"/>
            </w:tcMar>
          </w:tcPr>
          <w:p w14:paraId="45BCE867" w14:textId="3B84E638"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1426</w:t>
            </w:r>
          </w:p>
        </w:tc>
      </w:tr>
      <w:tr w:rsidR="005446C0" w:rsidRPr="00786685" w14:paraId="1BDBB5F7" w14:textId="77777777" w:rsidTr="00323992">
        <w:tc>
          <w:tcPr>
            <w:tcW w:w="567" w:type="dxa"/>
            <w:vMerge/>
            <w:tcMar>
              <w:top w:w="57" w:type="dxa"/>
              <w:left w:w="85" w:type="dxa"/>
              <w:bottom w:w="57" w:type="dxa"/>
              <w:right w:w="28" w:type="dxa"/>
            </w:tcMar>
          </w:tcPr>
          <w:p w14:paraId="756BFE10"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4AFEA306"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76C5CD01" w14:textId="39D85B8A" w:rsidR="005446C0" w:rsidRPr="00786685" w:rsidRDefault="005446C0" w:rsidP="003920CF">
            <w:pPr>
              <w:rPr>
                <w:rFonts w:ascii="Verdana" w:hAnsi="Verdana" w:cstheme="minorHAnsi"/>
              </w:rPr>
            </w:pPr>
            <w:r>
              <w:rPr>
                <w:rFonts w:ascii="Verdana" w:hAnsi="Verdana" w:cstheme="minorHAnsi"/>
                <w:lang w:val="bg-BG"/>
              </w:rPr>
              <w:t xml:space="preserve">5.2. </w:t>
            </w:r>
            <w:proofErr w:type="spellStart"/>
            <w:r w:rsidRPr="00786685">
              <w:rPr>
                <w:rFonts w:ascii="Verdana" w:hAnsi="Verdana" w:cstheme="minorHAnsi"/>
              </w:rPr>
              <w:t>Softeningpoint</w:t>
            </w:r>
            <w:proofErr w:type="spellEnd"/>
          </w:p>
        </w:tc>
        <w:tc>
          <w:tcPr>
            <w:tcW w:w="3827" w:type="dxa"/>
            <w:tcMar>
              <w:top w:w="57" w:type="dxa"/>
              <w:left w:w="85" w:type="dxa"/>
              <w:bottom w:w="57" w:type="dxa"/>
              <w:right w:w="28" w:type="dxa"/>
            </w:tcMar>
          </w:tcPr>
          <w:p w14:paraId="1D56893D" w14:textId="0903FCD5"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1427</w:t>
            </w:r>
          </w:p>
        </w:tc>
      </w:tr>
      <w:tr w:rsidR="005446C0" w:rsidRPr="00786685" w14:paraId="762B4C26" w14:textId="77777777" w:rsidTr="00323992">
        <w:tc>
          <w:tcPr>
            <w:tcW w:w="567" w:type="dxa"/>
            <w:vMerge/>
            <w:tcMar>
              <w:top w:w="57" w:type="dxa"/>
              <w:left w:w="85" w:type="dxa"/>
              <w:bottom w:w="57" w:type="dxa"/>
              <w:right w:w="28" w:type="dxa"/>
            </w:tcMar>
          </w:tcPr>
          <w:p w14:paraId="56E07F2C"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7D7BAEE5"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28E11FA5" w14:textId="537BADB1" w:rsidR="005446C0" w:rsidRPr="00786685" w:rsidRDefault="005446C0" w:rsidP="003920CF">
            <w:pPr>
              <w:rPr>
                <w:rFonts w:ascii="Verdana" w:hAnsi="Verdana" w:cstheme="minorHAnsi"/>
                <w:lang w:val="bg-BG"/>
              </w:rPr>
            </w:pPr>
            <w:r>
              <w:rPr>
                <w:rFonts w:ascii="Verdana" w:hAnsi="Verdana" w:cstheme="minorHAnsi"/>
                <w:lang w:val="bg-BG"/>
              </w:rPr>
              <w:t xml:space="preserve">5.3. </w:t>
            </w:r>
            <w:r w:rsidRPr="00786685">
              <w:rPr>
                <w:rFonts w:ascii="Verdana" w:hAnsi="Verdana" w:cstheme="minorHAnsi"/>
              </w:rPr>
              <w:t>Affinity</w:t>
            </w:r>
            <w:r w:rsidRPr="00786685">
              <w:rPr>
                <w:rFonts w:ascii="Verdana" w:hAnsi="Verdana" w:cstheme="minorHAnsi"/>
                <w:lang w:val="bg-BG"/>
              </w:rPr>
              <w:t xml:space="preserve"> </w:t>
            </w:r>
            <w:r w:rsidRPr="00786685">
              <w:rPr>
                <w:rFonts w:ascii="Verdana" w:hAnsi="Verdana" w:cstheme="minorHAnsi"/>
              </w:rPr>
              <w:t>between aggregate and bitumen</w:t>
            </w:r>
            <w:r w:rsidRPr="00786685">
              <w:rPr>
                <w:rFonts w:ascii="Verdana" w:hAnsi="Verdana" w:cstheme="minorHAnsi"/>
                <w:lang w:val="bg-BG"/>
              </w:rPr>
              <w:t xml:space="preserve"> / </w:t>
            </w:r>
            <w:proofErr w:type="spellStart"/>
            <w:r w:rsidRPr="00786685">
              <w:rPr>
                <w:rFonts w:ascii="Verdana" w:hAnsi="Verdana" w:cstheme="minorHAnsi"/>
                <w:lang w:val="bg-BG"/>
              </w:rPr>
              <w:t>degree</w:t>
            </w:r>
            <w:proofErr w:type="spellEnd"/>
            <w:r w:rsidRPr="00786685">
              <w:rPr>
                <w:rFonts w:ascii="Verdana" w:hAnsi="Verdana" w:cstheme="minorHAnsi"/>
                <w:lang w:val="bg-BG"/>
              </w:rPr>
              <w:t xml:space="preserve"> </w:t>
            </w:r>
            <w:proofErr w:type="spellStart"/>
            <w:r w:rsidRPr="00786685">
              <w:rPr>
                <w:rFonts w:ascii="Verdana" w:hAnsi="Verdana" w:cstheme="minorHAnsi"/>
                <w:lang w:val="bg-BG"/>
              </w:rPr>
              <w:t>of</w:t>
            </w:r>
            <w:proofErr w:type="spellEnd"/>
            <w:r w:rsidRPr="00786685">
              <w:rPr>
                <w:rFonts w:ascii="Verdana" w:hAnsi="Verdana" w:cstheme="minorHAnsi"/>
                <w:lang w:val="bg-BG"/>
              </w:rPr>
              <w:t xml:space="preserve"> </w:t>
            </w:r>
            <w:proofErr w:type="spellStart"/>
            <w:r w:rsidRPr="00786685">
              <w:rPr>
                <w:rFonts w:ascii="Verdana" w:hAnsi="Verdana" w:cstheme="minorHAnsi"/>
                <w:lang w:val="bg-BG"/>
              </w:rPr>
              <w:t>bitumen</w:t>
            </w:r>
            <w:proofErr w:type="spellEnd"/>
            <w:r w:rsidRPr="00786685">
              <w:rPr>
                <w:rFonts w:ascii="Verdana" w:hAnsi="Verdana" w:cstheme="minorHAnsi"/>
                <w:lang w:val="bg-BG"/>
              </w:rPr>
              <w:t xml:space="preserve"> </w:t>
            </w:r>
            <w:proofErr w:type="spellStart"/>
            <w:r w:rsidRPr="00786685">
              <w:rPr>
                <w:rFonts w:ascii="Verdana" w:hAnsi="Verdana" w:cstheme="minorHAnsi"/>
                <w:lang w:val="bg-BG"/>
              </w:rPr>
              <w:t>coating</w:t>
            </w:r>
            <w:proofErr w:type="spellEnd"/>
          </w:p>
        </w:tc>
        <w:tc>
          <w:tcPr>
            <w:tcW w:w="3827" w:type="dxa"/>
            <w:tcMar>
              <w:top w:w="57" w:type="dxa"/>
              <w:left w:w="85" w:type="dxa"/>
              <w:bottom w:w="57" w:type="dxa"/>
              <w:right w:w="28" w:type="dxa"/>
            </w:tcMar>
          </w:tcPr>
          <w:p w14:paraId="5F87C206" w14:textId="22CA67D2"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12697-11, </w:t>
            </w:r>
            <w:r>
              <w:rPr>
                <w:rFonts w:ascii="Verdana" w:hAnsi="Verdana" w:cstheme="minorHAnsi"/>
              </w:rPr>
              <w:t>cl.</w:t>
            </w:r>
            <w:r w:rsidRPr="00786685">
              <w:rPr>
                <w:rFonts w:ascii="Verdana" w:hAnsi="Verdana" w:cstheme="minorHAnsi"/>
              </w:rPr>
              <w:t xml:space="preserve"> 7</w:t>
            </w:r>
          </w:p>
        </w:tc>
      </w:tr>
      <w:tr w:rsidR="005446C0" w:rsidRPr="00786685" w14:paraId="3D696171" w14:textId="77777777" w:rsidTr="00323992">
        <w:tc>
          <w:tcPr>
            <w:tcW w:w="567" w:type="dxa"/>
            <w:vMerge w:val="restart"/>
            <w:tcMar>
              <w:top w:w="57" w:type="dxa"/>
              <w:left w:w="85" w:type="dxa"/>
              <w:bottom w:w="57" w:type="dxa"/>
              <w:right w:w="28" w:type="dxa"/>
            </w:tcMar>
          </w:tcPr>
          <w:p w14:paraId="76154430" w14:textId="77777777" w:rsidR="005446C0" w:rsidRPr="00786685" w:rsidRDefault="005446C0" w:rsidP="00FE6181">
            <w:pPr>
              <w:jc w:val="center"/>
              <w:rPr>
                <w:rFonts w:ascii="Verdana" w:hAnsi="Verdana" w:cstheme="minorHAnsi"/>
                <w:lang w:val="bg-BG"/>
              </w:rPr>
            </w:pPr>
            <w:r w:rsidRPr="00786685">
              <w:rPr>
                <w:rFonts w:ascii="Verdana" w:hAnsi="Verdana" w:cstheme="minorHAnsi"/>
                <w:lang w:val="bg-BG"/>
              </w:rPr>
              <w:t>6.</w:t>
            </w:r>
          </w:p>
        </w:tc>
        <w:tc>
          <w:tcPr>
            <w:tcW w:w="2126" w:type="dxa"/>
            <w:vMerge w:val="restart"/>
            <w:tcMar>
              <w:top w:w="57" w:type="dxa"/>
              <w:left w:w="85" w:type="dxa"/>
              <w:bottom w:w="57" w:type="dxa"/>
              <w:right w:w="28" w:type="dxa"/>
            </w:tcMar>
          </w:tcPr>
          <w:p w14:paraId="28E5E558" w14:textId="77777777" w:rsidR="005446C0" w:rsidRPr="00786685" w:rsidRDefault="005446C0" w:rsidP="003920CF">
            <w:pPr>
              <w:rPr>
                <w:rFonts w:ascii="Verdana" w:hAnsi="Verdana" w:cstheme="minorHAnsi"/>
                <w:lang w:val="bg-BG"/>
              </w:rPr>
            </w:pPr>
            <w:r w:rsidRPr="00786685">
              <w:rPr>
                <w:rFonts w:ascii="Verdana" w:hAnsi="Verdana" w:cstheme="minorHAnsi"/>
              </w:rPr>
              <w:t xml:space="preserve">Construction soils </w:t>
            </w:r>
          </w:p>
        </w:tc>
        <w:tc>
          <w:tcPr>
            <w:tcW w:w="2835" w:type="dxa"/>
            <w:tcMar>
              <w:top w:w="57" w:type="dxa"/>
              <w:left w:w="85" w:type="dxa"/>
              <w:bottom w:w="57" w:type="dxa"/>
              <w:right w:w="28" w:type="dxa"/>
            </w:tcMar>
          </w:tcPr>
          <w:p w14:paraId="7D2526F2" w14:textId="10AFD3CA" w:rsidR="005446C0" w:rsidRPr="00786685" w:rsidRDefault="005446C0" w:rsidP="003920CF">
            <w:pPr>
              <w:rPr>
                <w:rFonts w:ascii="Verdana" w:hAnsi="Verdana" w:cstheme="minorHAnsi"/>
                <w:lang w:val="bg-BG"/>
              </w:rPr>
            </w:pPr>
            <w:r>
              <w:rPr>
                <w:rFonts w:ascii="Verdana" w:hAnsi="Verdana" w:cstheme="minorHAnsi"/>
                <w:lang w:val="bg-BG"/>
              </w:rPr>
              <w:t xml:space="preserve">6.1. </w:t>
            </w:r>
            <w:r w:rsidRPr="00786685">
              <w:rPr>
                <w:rFonts w:ascii="Verdana" w:hAnsi="Verdana" w:cstheme="minorHAnsi"/>
              </w:rPr>
              <w:t xml:space="preserve">Maximum bulk density of the skeleton and optimum water content, Proctor method </w:t>
            </w:r>
          </w:p>
        </w:tc>
        <w:tc>
          <w:tcPr>
            <w:tcW w:w="3827" w:type="dxa"/>
            <w:tcMar>
              <w:top w:w="57" w:type="dxa"/>
              <w:left w:w="85" w:type="dxa"/>
              <w:bottom w:w="57" w:type="dxa"/>
              <w:right w:w="28" w:type="dxa"/>
            </w:tcMar>
          </w:tcPr>
          <w:p w14:paraId="3BBEB033" w14:textId="6966D252" w:rsidR="00816689"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17146</w:t>
            </w:r>
            <w:r w:rsidR="00FC739C">
              <w:rPr>
                <w:rFonts w:ascii="Verdana" w:hAnsi="Verdana" w:cstheme="minorHAnsi"/>
              </w:rPr>
              <w:t>,</w:t>
            </w:r>
            <w:r w:rsidRPr="00786685">
              <w:rPr>
                <w:rFonts w:ascii="Verdana" w:hAnsi="Verdana" w:cstheme="minorHAnsi"/>
              </w:rPr>
              <w:t xml:space="preserve"> </w:t>
            </w:r>
          </w:p>
          <w:p w14:paraId="155400E3" w14:textId="12B16D66" w:rsidR="005446C0" w:rsidRPr="00786685" w:rsidRDefault="005446C0" w:rsidP="003920CF">
            <w:pPr>
              <w:rPr>
                <w:rFonts w:ascii="Verdana" w:hAnsi="Verdana" w:cstheme="minorHAnsi"/>
              </w:rPr>
            </w:pPr>
            <w:r w:rsidRPr="00786685">
              <w:rPr>
                <w:rFonts w:ascii="Verdana" w:hAnsi="Verdana" w:cstheme="minorHAnsi"/>
              </w:rPr>
              <w:t xml:space="preserve">testing type </w:t>
            </w:r>
          </w:p>
          <w:p w14:paraId="52B2B864" w14:textId="16E0277D" w:rsidR="005446C0" w:rsidRPr="00786685" w:rsidRDefault="005446C0" w:rsidP="003920CF">
            <w:pPr>
              <w:rPr>
                <w:rFonts w:ascii="Verdana" w:hAnsi="Verdana" w:cstheme="minorHAnsi"/>
              </w:rPr>
            </w:pPr>
            <w:r w:rsidRPr="00786685">
              <w:rPr>
                <w:rFonts w:ascii="Verdana" w:hAnsi="Verdana" w:cstheme="minorHAnsi"/>
              </w:rPr>
              <w:t>H 150</w:t>
            </w:r>
            <w:r w:rsidR="00FC739C">
              <w:rPr>
                <w:rFonts w:ascii="Verdana" w:hAnsi="Verdana" w:cstheme="minorHAnsi"/>
              </w:rPr>
              <w:t>,</w:t>
            </w:r>
            <w:r w:rsidRPr="00786685">
              <w:rPr>
                <w:rFonts w:ascii="Verdana" w:hAnsi="Verdana" w:cstheme="minorHAnsi"/>
              </w:rPr>
              <w:t xml:space="preserve"> M 150</w:t>
            </w:r>
          </w:p>
          <w:p w14:paraId="2D58A973" w14:textId="46ECDC07"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13286-2, </w:t>
            </w:r>
            <w:r>
              <w:rPr>
                <w:rFonts w:ascii="Verdana" w:hAnsi="Verdana" w:cstheme="minorHAnsi"/>
              </w:rPr>
              <w:t>cl.</w:t>
            </w:r>
            <w:r w:rsidRPr="00786685">
              <w:rPr>
                <w:rFonts w:ascii="Verdana" w:hAnsi="Verdana" w:cstheme="minorHAnsi"/>
              </w:rPr>
              <w:t xml:space="preserve"> 7.5</w:t>
            </w:r>
          </w:p>
        </w:tc>
      </w:tr>
      <w:tr w:rsidR="005446C0" w:rsidRPr="00786685" w14:paraId="6F9A2DED" w14:textId="77777777" w:rsidTr="00323992">
        <w:tc>
          <w:tcPr>
            <w:tcW w:w="567" w:type="dxa"/>
            <w:vMerge/>
            <w:tcMar>
              <w:top w:w="57" w:type="dxa"/>
              <w:left w:w="85" w:type="dxa"/>
              <w:bottom w:w="57" w:type="dxa"/>
              <w:right w:w="28" w:type="dxa"/>
            </w:tcMar>
          </w:tcPr>
          <w:p w14:paraId="0ECBFC87"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42A37DAA"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736C4FB4" w14:textId="791F113E" w:rsidR="005446C0" w:rsidRPr="00786685" w:rsidRDefault="005446C0" w:rsidP="003920CF">
            <w:pPr>
              <w:rPr>
                <w:rFonts w:ascii="Verdana" w:hAnsi="Verdana" w:cstheme="minorHAnsi"/>
              </w:rPr>
            </w:pPr>
            <w:r>
              <w:rPr>
                <w:rFonts w:ascii="Verdana" w:hAnsi="Verdana" w:cstheme="minorHAnsi"/>
                <w:lang w:val="bg-BG"/>
              </w:rPr>
              <w:t xml:space="preserve">6.2. </w:t>
            </w:r>
            <w:r w:rsidRPr="00786685">
              <w:rPr>
                <w:rFonts w:ascii="Verdana" w:hAnsi="Verdana" w:cstheme="minorHAnsi"/>
              </w:rPr>
              <w:t xml:space="preserve">California bearing ratio (CBR) </w:t>
            </w:r>
          </w:p>
        </w:tc>
        <w:tc>
          <w:tcPr>
            <w:tcW w:w="3827" w:type="dxa"/>
            <w:tcMar>
              <w:top w:w="57" w:type="dxa"/>
              <w:left w:w="85" w:type="dxa"/>
              <w:bottom w:w="57" w:type="dxa"/>
              <w:right w:w="28" w:type="dxa"/>
            </w:tcMar>
          </w:tcPr>
          <w:p w14:paraId="1D3AB0B7" w14:textId="31D349B9"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13286-47 </w:t>
            </w:r>
          </w:p>
        </w:tc>
      </w:tr>
      <w:tr w:rsidR="005446C0" w:rsidRPr="00786685" w14:paraId="22CC93B2" w14:textId="77777777" w:rsidTr="00323992">
        <w:tc>
          <w:tcPr>
            <w:tcW w:w="567" w:type="dxa"/>
            <w:vMerge/>
            <w:tcMar>
              <w:top w:w="57" w:type="dxa"/>
              <w:left w:w="85" w:type="dxa"/>
              <w:bottom w:w="57" w:type="dxa"/>
              <w:right w:w="28" w:type="dxa"/>
            </w:tcMar>
          </w:tcPr>
          <w:p w14:paraId="08E0C7F3"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326369A7"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62844018" w14:textId="42E59605" w:rsidR="005446C0" w:rsidRPr="00786685" w:rsidRDefault="005446C0" w:rsidP="003920CF">
            <w:pPr>
              <w:rPr>
                <w:rFonts w:ascii="Verdana" w:hAnsi="Verdana" w:cstheme="minorHAnsi"/>
              </w:rPr>
            </w:pPr>
            <w:r>
              <w:rPr>
                <w:rFonts w:ascii="Verdana" w:hAnsi="Verdana" w:cstheme="minorHAnsi"/>
                <w:lang w:val="bg-BG"/>
              </w:rPr>
              <w:t xml:space="preserve">6.3. </w:t>
            </w:r>
            <w:r w:rsidRPr="00786685">
              <w:rPr>
                <w:rFonts w:ascii="Verdana" w:hAnsi="Verdana" w:cstheme="minorHAnsi"/>
              </w:rPr>
              <w:t xml:space="preserve">Water content </w:t>
            </w:r>
          </w:p>
        </w:tc>
        <w:tc>
          <w:tcPr>
            <w:tcW w:w="3827" w:type="dxa"/>
            <w:tcMar>
              <w:top w:w="57" w:type="dxa"/>
              <w:left w:w="85" w:type="dxa"/>
              <w:bottom w:w="57" w:type="dxa"/>
              <w:right w:w="28" w:type="dxa"/>
            </w:tcMar>
          </w:tcPr>
          <w:p w14:paraId="069BD1CF" w14:textId="0FACA9F3"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1097-5</w:t>
            </w:r>
          </w:p>
        </w:tc>
      </w:tr>
      <w:tr w:rsidR="005446C0" w:rsidRPr="00786685" w14:paraId="76F153D0" w14:textId="77777777" w:rsidTr="00323992">
        <w:tc>
          <w:tcPr>
            <w:tcW w:w="567" w:type="dxa"/>
            <w:vMerge/>
            <w:tcMar>
              <w:top w:w="57" w:type="dxa"/>
              <w:left w:w="85" w:type="dxa"/>
              <w:bottom w:w="57" w:type="dxa"/>
              <w:right w:w="28" w:type="dxa"/>
            </w:tcMar>
          </w:tcPr>
          <w:p w14:paraId="1D4ACE8F"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59E314F2"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6D664360" w14:textId="7BA3F138" w:rsidR="005446C0" w:rsidRPr="00786685" w:rsidRDefault="005446C0" w:rsidP="003920CF">
            <w:pPr>
              <w:rPr>
                <w:rFonts w:ascii="Verdana" w:hAnsi="Verdana" w:cstheme="minorHAnsi"/>
              </w:rPr>
            </w:pPr>
            <w:r>
              <w:rPr>
                <w:rFonts w:ascii="Verdana" w:hAnsi="Verdana" w:cstheme="minorHAnsi"/>
                <w:lang w:val="bg-BG"/>
              </w:rPr>
              <w:t xml:space="preserve">6.4. </w:t>
            </w:r>
            <w:r w:rsidRPr="00786685">
              <w:rPr>
                <w:rFonts w:ascii="Verdana" w:hAnsi="Verdana" w:cstheme="minorHAnsi"/>
              </w:rPr>
              <w:t>Bulk density in-place by the sand-cone method</w:t>
            </w:r>
          </w:p>
        </w:tc>
        <w:tc>
          <w:tcPr>
            <w:tcW w:w="3827" w:type="dxa"/>
            <w:tcMar>
              <w:top w:w="57" w:type="dxa"/>
              <w:left w:w="85" w:type="dxa"/>
              <w:bottom w:w="57" w:type="dxa"/>
              <w:right w:w="28" w:type="dxa"/>
            </w:tcMar>
          </w:tcPr>
          <w:p w14:paraId="0733A8B3" w14:textId="77777777" w:rsidR="005446C0" w:rsidRPr="00786685" w:rsidRDefault="005446C0" w:rsidP="003920CF">
            <w:pPr>
              <w:rPr>
                <w:rFonts w:ascii="Verdana" w:hAnsi="Verdana" w:cstheme="minorHAnsi"/>
              </w:rPr>
            </w:pPr>
            <w:r w:rsidRPr="00786685">
              <w:rPr>
                <w:rFonts w:ascii="Verdana" w:hAnsi="Verdana" w:cstheme="minorHAnsi"/>
              </w:rPr>
              <w:t>AASHTO T 191</w:t>
            </w:r>
          </w:p>
          <w:p w14:paraId="63DB8104" w14:textId="2C57E5A9" w:rsidR="005446C0" w:rsidRPr="00786685" w:rsidRDefault="005446C0" w:rsidP="003920CF">
            <w:pPr>
              <w:rPr>
                <w:rFonts w:ascii="Verdana" w:hAnsi="Verdana" w:cstheme="minorHAnsi"/>
              </w:rPr>
            </w:pPr>
            <w:r>
              <w:rPr>
                <w:rFonts w:ascii="Verdana" w:hAnsi="Verdana" w:cstheme="minorHAnsi"/>
              </w:rPr>
              <w:t>Ordinance № РД</w:t>
            </w:r>
            <w:r w:rsidRPr="00786685">
              <w:rPr>
                <w:rFonts w:ascii="Verdana" w:hAnsi="Verdana" w:cstheme="minorHAnsi"/>
              </w:rPr>
              <w:t>-02-20-2</w:t>
            </w:r>
            <w:r>
              <w:rPr>
                <w:rFonts w:ascii="Verdana" w:hAnsi="Verdana" w:cstheme="minorHAnsi"/>
              </w:rPr>
              <w:t>/ 28.08.2018</w:t>
            </w:r>
            <w:r w:rsidRPr="00786685">
              <w:rPr>
                <w:rFonts w:ascii="Verdana" w:hAnsi="Verdana" w:cstheme="minorHAnsi"/>
              </w:rPr>
              <w:t xml:space="preserve"> of the MRRB for road design</w:t>
            </w:r>
            <w:r w:rsidR="00297DCB">
              <w:rPr>
                <w:rFonts w:ascii="Verdana" w:hAnsi="Verdana" w:cstheme="minorHAnsi"/>
              </w:rPr>
              <w:t>,</w:t>
            </w:r>
            <w:r w:rsidRPr="00786685">
              <w:rPr>
                <w:rFonts w:ascii="Verdana" w:hAnsi="Verdana" w:cstheme="minorHAnsi"/>
              </w:rPr>
              <w:t xml:space="preserve"> Annex 18</w:t>
            </w:r>
          </w:p>
        </w:tc>
      </w:tr>
      <w:tr w:rsidR="005446C0" w:rsidRPr="00786685" w14:paraId="7FD3547A" w14:textId="77777777" w:rsidTr="00323992">
        <w:tc>
          <w:tcPr>
            <w:tcW w:w="567" w:type="dxa"/>
            <w:vMerge/>
            <w:tcMar>
              <w:top w:w="57" w:type="dxa"/>
              <w:left w:w="85" w:type="dxa"/>
              <w:bottom w:w="57" w:type="dxa"/>
              <w:right w:w="28" w:type="dxa"/>
            </w:tcMar>
          </w:tcPr>
          <w:p w14:paraId="232938D7"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7F7667B1"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2F52FD2A" w14:textId="40371E0C" w:rsidR="005446C0" w:rsidRPr="00786685" w:rsidRDefault="005446C0" w:rsidP="003920CF">
            <w:pPr>
              <w:rPr>
                <w:rFonts w:ascii="Verdana" w:hAnsi="Verdana" w:cstheme="minorHAnsi"/>
              </w:rPr>
            </w:pPr>
            <w:r>
              <w:rPr>
                <w:rFonts w:ascii="Verdana" w:hAnsi="Verdana" w:cstheme="minorHAnsi"/>
                <w:lang w:val="bg-BG"/>
              </w:rPr>
              <w:t xml:space="preserve">6.5. </w:t>
            </w:r>
            <w:r w:rsidRPr="00786685">
              <w:rPr>
                <w:rFonts w:ascii="Verdana" w:hAnsi="Verdana" w:cstheme="minorHAnsi"/>
              </w:rPr>
              <w:t xml:space="preserve">Elastic and deformation module by load with a round plate </w:t>
            </w:r>
          </w:p>
          <w:p w14:paraId="1DC6F752" w14:textId="77777777" w:rsidR="005446C0" w:rsidRPr="00786685" w:rsidRDefault="005446C0" w:rsidP="003920CF">
            <w:pPr>
              <w:rPr>
                <w:rFonts w:ascii="Verdana" w:hAnsi="Verdana" w:cstheme="minorHAnsi"/>
              </w:rPr>
            </w:pPr>
            <w:r w:rsidRPr="00786685">
              <w:rPr>
                <w:rFonts w:ascii="Verdana" w:hAnsi="Verdana" w:cstheme="minorHAnsi"/>
              </w:rPr>
              <w:t xml:space="preserve">- elastic module </w:t>
            </w:r>
          </w:p>
          <w:p w14:paraId="750ACE11" w14:textId="77777777" w:rsidR="005446C0" w:rsidRPr="00786685" w:rsidRDefault="005446C0" w:rsidP="003920CF">
            <w:pPr>
              <w:rPr>
                <w:rFonts w:ascii="Verdana" w:hAnsi="Verdana" w:cstheme="minorHAnsi"/>
              </w:rPr>
            </w:pPr>
            <w:r w:rsidRPr="00786685">
              <w:rPr>
                <w:rFonts w:ascii="Verdana" w:hAnsi="Verdana" w:cstheme="minorHAnsi"/>
              </w:rPr>
              <w:t xml:space="preserve">- deformation module </w:t>
            </w:r>
          </w:p>
          <w:p w14:paraId="4E0FCC86" w14:textId="17F3BF25" w:rsidR="005446C0" w:rsidRPr="00786685" w:rsidRDefault="005446C0" w:rsidP="00786685">
            <w:pPr>
              <w:rPr>
                <w:rFonts w:ascii="Verdana" w:hAnsi="Verdana" w:cstheme="minorHAnsi"/>
              </w:rPr>
            </w:pPr>
            <w:r w:rsidRPr="00786685">
              <w:rPr>
                <w:rFonts w:ascii="Verdana" w:hAnsi="Verdana" w:cstheme="minorHAnsi"/>
              </w:rPr>
              <w:t>- relation of the deformation modules</w:t>
            </w:r>
            <w:r>
              <w:rPr>
                <w:rFonts w:ascii="Verdana" w:hAnsi="Verdana" w:cstheme="minorHAnsi"/>
                <w:lang w:val="bg-BG"/>
              </w:rPr>
              <w:t xml:space="preserve"> </w:t>
            </w:r>
            <w:r w:rsidRPr="00786685">
              <w:rPr>
                <w:rFonts w:ascii="Verdana" w:hAnsi="Verdana" w:cstheme="minorHAnsi"/>
              </w:rPr>
              <w:t>E2/E1</w:t>
            </w:r>
          </w:p>
        </w:tc>
        <w:tc>
          <w:tcPr>
            <w:tcW w:w="3827" w:type="dxa"/>
            <w:tcMar>
              <w:top w:w="57" w:type="dxa"/>
              <w:left w:w="85" w:type="dxa"/>
              <w:bottom w:w="57" w:type="dxa"/>
              <w:right w:w="28" w:type="dxa"/>
            </w:tcMar>
          </w:tcPr>
          <w:p w14:paraId="4F25FFCE" w14:textId="27B2D49C"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15130</w:t>
            </w:r>
          </w:p>
        </w:tc>
      </w:tr>
      <w:tr w:rsidR="005446C0" w:rsidRPr="00786685" w14:paraId="05FCC2CC" w14:textId="77777777" w:rsidTr="00323992">
        <w:tc>
          <w:tcPr>
            <w:tcW w:w="567" w:type="dxa"/>
            <w:vMerge/>
            <w:tcMar>
              <w:top w:w="57" w:type="dxa"/>
              <w:left w:w="85" w:type="dxa"/>
              <w:bottom w:w="57" w:type="dxa"/>
              <w:right w:w="28" w:type="dxa"/>
            </w:tcMar>
          </w:tcPr>
          <w:p w14:paraId="695CD9EF"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2A218B5B"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6A20D24B" w14:textId="59BC8D65" w:rsidR="005446C0" w:rsidRPr="00786685" w:rsidRDefault="005446C0" w:rsidP="003920CF">
            <w:pPr>
              <w:rPr>
                <w:rFonts w:ascii="Verdana" w:hAnsi="Verdana" w:cstheme="minorHAnsi"/>
              </w:rPr>
            </w:pPr>
            <w:r>
              <w:rPr>
                <w:rFonts w:ascii="Verdana" w:hAnsi="Verdana" w:cstheme="minorHAnsi"/>
                <w:lang w:val="bg-BG"/>
              </w:rPr>
              <w:t xml:space="preserve">6.6. </w:t>
            </w:r>
            <w:r w:rsidRPr="00786685">
              <w:rPr>
                <w:rFonts w:ascii="Verdana" w:hAnsi="Verdana" w:cstheme="minorHAnsi"/>
              </w:rPr>
              <w:t>Degree</w:t>
            </w:r>
            <w:r w:rsidRPr="00786685">
              <w:rPr>
                <w:rFonts w:ascii="Verdana" w:hAnsi="Verdana" w:cstheme="minorHAnsi"/>
                <w:lang w:val="bg-BG"/>
              </w:rPr>
              <w:t xml:space="preserve"> </w:t>
            </w:r>
            <w:r w:rsidRPr="00786685">
              <w:rPr>
                <w:rFonts w:ascii="Verdana" w:hAnsi="Verdana" w:cstheme="minorHAnsi"/>
              </w:rPr>
              <w:t>of compaction</w:t>
            </w:r>
          </w:p>
        </w:tc>
        <w:tc>
          <w:tcPr>
            <w:tcW w:w="3827" w:type="dxa"/>
            <w:tcMar>
              <w:top w:w="57" w:type="dxa"/>
              <w:left w:w="85" w:type="dxa"/>
              <w:bottom w:w="57" w:type="dxa"/>
              <w:right w:w="28" w:type="dxa"/>
            </w:tcMar>
          </w:tcPr>
          <w:p w14:paraId="0830698E" w14:textId="77777777" w:rsidR="005446C0" w:rsidRPr="00786685" w:rsidRDefault="005446C0" w:rsidP="003920CF">
            <w:pPr>
              <w:rPr>
                <w:rFonts w:ascii="Verdana" w:hAnsi="Verdana" w:cstheme="minorHAnsi"/>
              </w:rPr>
            </w:pPr>
            <w:r w:rsidRPr="00786685">
              <w:rPr>
                <w:rFonts w:ascii="Verdana" w:hAnsi="Verdana" w:cstheme="minorHAnsi"/>
              </w:rPr>
              <w:t>AASHTO T 191</w:t>
            </w:r>
          </w:p>
          <w:p w14:paraId="444E2C0D" w14:textId="431254A5" w:rsidR="005446C0" w:rsidRPr="00786685" w:rsidRDefault="005446C0" w:rsidP="003920CF">
            <w:pPr>
              <w:rPr>
                <w:rFonts w:ascii="Verdana" w:hAnsi="Verdana" w:cstheme="minorHAnsi"/>
              </w:rPr>
            </w:pPr>
            <w:r>
              <w:rPr>
                <w:rFonts w:ascii="Verdana" w:hAnsi="Verdana" w:cstheme="minorHAnsi"/>
              </w:rPr>
              <w:t>Ordinance № РД</w:t>
            </w:r>
            <w:r w:rsidRPr="00786685">
              <w:rPr>
                <w:rFonts w:ascii="Verdana" w:hAnsi="Verdana" w:cstheme="minorHAnsi"/>
              </w:rPr>
              <w:t>-02-20-2</w:t>
            </w:r>
            <w:r>
              <w:rPr>
                <w:rFonts w:ascii="Verdana" w:hAnsi="Verdana" w:cstheme="minorHAnsi"/>
              </w:rPr>
              <w:t>/ 28.08.2018</w:t>
            </w:r>
            <w:r w:rsidRPr="00786685">
              <w:rPr>
                <w:rFonts w:ascii="Verdana" w:hAnsi="Verdana" w:cstheme="minorHAnsi"/>
              </w:rPr>
              <w:t xml:space="preserve"> of the MRRB for road design</w:t>
            </w:r>
            <w:r w:rsidR="00297DCB">
              <w:rPr>
                <w:rFonts w:ascii="Verdana" w:hAnsi="Verdana" w:cstheme="minorHAnsi"/>
              </w:rPr>
              <w:t>,</w:t>
            </w:r>
            <w:r w:rsidRPr="00786685">
              <w:rPr>
                <w:rFonts w:ascii="Verdana" w:hAnsi="Verdana" w:cstheme="minorHAnsi"/>
              </w:rPr>
              <w:t xml:space="preserve"> Annex 18</w:t>
            </w:r>
          </w:p>
        </w:tc>
      </w:tr>
      <w:tr w:rsidR="005446C0" w:rsidRPr="00786685" w14:paraId="005047D0" w14:textId="77777777" w:rsidTr="00323992">
        <w:tc>
          <w:tcPr>
            <w:tcW w:w="567" w:type="dxa"/>
            <w:vMerge/>
            <w:tcMar>
              <w:top w:w="57" w:type="dxa"/>
              <w:left w:w="85" w:type="dxa"/>
              <w:bottom w:w="57" w:type="dxa"/>
              <w:right w:w="28" w:type="dxa"/>
            </w:tcMar>
          </w:tcPr>
          <w:p w14:paraId="4CC9B7F1"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71A27C5A"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140534ED" w14:textId="493E660C" w:rsidR="005446C0" w:rsidRPr="00786685" w:rsidRDefault="005446C0" w:rsidP="003920CF">
            <w:pPr>
              <w:rPr>
                <w:rFonts w:ascii="Verdana" w:hAnsi="Verdana" w:cstheme="minorHAnsi"/>
              </w:rPr>
            </w:pPr>
            <w:r>
              <w:rPr>
                <w:rFonts w:ascii="Verdana" w:hAnsi="Verdana" w:cstheme="minorHAnsi"/>
                <w:lang w:val="bg-BG"/>
              </w:rPr>
              <w:t xml:space="preserve">6.7. </w:t>
            </w:r>
            <w:r w:rsidRPr="00786685">
              <w:rPr>
                <w:rFonts w:ascii="Verdana" w:hAnsi="Verdana" w:cstheme="minorHAnsi"/>
              </w:rPr>
              <w:t>Liquid limit / plastic limit. Plasticity index.</w:t>
            </w:r>
          </w:p>
        </w:tc>
        <w:tc>
          <w:tcPr>
            <w:tcW w:w="3827" w:type="dxa"/>
            <w:tcMar>
              <w:top w:w="57" w:type="dxa"/>
              <w:left w:w="85" w:type="dxa"/>
              <w:bottom w:w="57" w:type="dxa"/>
              <w:right w:w="28" w:type="dxa"/>
            </w:tcMar>
          </w:tcPr>
          <w:p w14:paraId="26CC2265" w14:textId="3B8E64C9" w:rsidR="005446C0" w:rsidRPr="00786685" w:rsidRDefault="005446C0" w:rsidP="003920CF">
            <w:pPr>
              <w:rPr>
                <w:rFonts w:ascii="Verdana" w:hAnsi="Verdana" w:cstheme="minorHAnsi"/>
              </w:rPr>
            </w:pPr>
            <w:r>
              <w:rPr>
                <w:rFonts w:ascii="Verdana" w:hAnsi="Verdana" w:cstheme="minorHAnsi"/>
              </w:rPr>
              <w:t>Ordinance № РД</w:t>
            </w:r>
            <w:r w:rsidRPr="00786685">
              <w:rPr>
                <w:rFonts w:ascii="Verdana" w:hAnsi="Verdana" w:cstheme="minorHAnsi"/>
              </w:rPr>
              <w:t>-02-20-2</w:t>
            </w:r>
            <w:r>
              <w:rPr>
                <w:rFonts w:ascii="Verdana" w:hAnsi="Verdana" w:cstheme="minorHAnsi"/>
              </w:rPr>
              <w:t>/ 28.08.2018</w:t>
            </w:r>
            <w:r w:rsidRPr="00786685">
              <w:rPr>
                <w:rFonts w:ascii="Verdana" w:hAnsi="Verdana" w:cstheme="minorHAnsi"/>
              </w:rPr>
              <w:t xml:space="preserve"> of the MRRB for road design Annex 16</w:t>
            </w:r>
          </w:p>
        </w:tc>
      </w:tr>
      <w:tr w:rsidR="005446C0" w:rsidRPr="00786685" w14:paraId="0593D935" w14:textId="77777777" w:rsidTr="00323992">
        <w:tc>
          <w:tcPr>
            <w:tcW w:w="567" w:type="dxa"/>
            <w:vMerge/>
            <w:tcMar>
              <w:top w:w="57" w:type="dxa"/>
              <w:left w:w="85" w:type="dxa"/>
              <w:bottom w:w="57" w:type="dxa"/>
              <w:right w:w="28" w:type="dxa"/>
            </w:tcMar>
          </w:tcPr>
          <w:p w14:paraId="22DF9A7E" w14:textId="77777777" w:rsidR="005446C0" w:rsidRPr="00786685" w:rsidRDefault="005446C0" w:rsidP="00FE6181">
            <w:pPr>
              <w:jc w:val="center"/>
              <w:rPr>
                <w:rFonts w:ascii="Verdana" w:hAnsi="Verdana" w:cstheme="minorHAnsi"/>
                <w:lang w:val="bg-BG"/>
              </w:rPr>
            </w:pPr>
          </w:p>
        </w:tc>
        <w:tc>
          <w:tcPr>
            <w:tcW w:w="2126" w:type="dxa"/>
            <w:vMerge/>
            <w:tcMar>
              <w:top w:w="57" w:type="dxa"/>
              <w:left w:w="85" w:type="dxa"/>
              <w:bottom w:w="57" w:type="dxa"/>
              <w:right w:w="28" w:type="dxa"/>
            </w:tcMar>
          </w:tcPr>
          <w:p w14:paraId="77369E23"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756E42ED" w14:textId="5EA14EC3" w:rsidR="005446C0" w:rsidRPr="00786685" w:rsidRDefault="005446C0" w:rsidP="003920CF">
            <w:pPr>
              <w:rPr>
                <w:rFonts w:ascii="Verdana" w:hAnsi="Verdana" w:cstheme="minorHAnsi"/>
              </w:rPr>
            </w:pPr>
            <w:r>
              <w:rPr>
                <w:rFonts w:ascii="Verdana" w:hAnsi="Verdana" w:cstheme="minorHAnsi"/>
                <w:lang w:val="bg-BG"/>
              </w:rPr>
              <w:t xml:space="preserve">6.8. </w:t>
            </w:r>
            <w:r w:rsidRPr="00786685">
              <w:rPr>
                <w:rFonts w:ascii="Verdana" w:hAnsi="Verdana" w:cstheme="minorHAnsi"/>
              </w:rPr>
              <w:t xml:space="preserve">Yield </w:t>
            </w:r>
            <w:proofErr w:type="spellStart"/>
            <w:r w:rsidRPr="00786685">
              <w:rPr>
                <w:rFonts w:ascii="Verdana" w:hAnsi="Verdana" w:cstheme="minorHAnsi"/>
              </w:rPr>
              <w:t>strenght</w:t>
            </w:r>
            <w:proofErr w:type="spellEnd"/>
          </w:p>
        </w:tc>
        <w:tc>
          <w:tcPr>
            <w:tcW w:w="3827" w:type="dxa"/>
            <w:tcMar>
              <w:top w:w="57" w:type="dxa"/>
              <w:left w:w="85" w:type="dxa"/>
              <w:bottom w:w="57" w:type="dxa"/>
              <w:right w:w="28" w:type="dxa"/>
            </w:tcMar>
          </w:tcPr>
          <w:p w14:paraId="220A70BD" w14:textId="31460606" w:rsidR="005446C0" w:rsidRPr="00786685" w:rsidRDefault="005446C0" w:rsidP="003920CF">
            <w:pPr>
              <w:rPr>
                <w:rFonts w:ascii="Verdana" w:hAnsi="Verdana" w:cstheme="minorHAnsi"/>
              </w:rPr>
            </w:pPr>
            <w:r>
              <w:rPr>
                <w:rFonts w:ascii="Verdana" w:hAnsi="Verdana" w:cstheme="minorHAnsi"/>
              </w:rPr>
              <w:t>Ordinance № РД</w:t>
            </w:r>
            <w:r w:rsidRPr="00786685">
              <w:rPr>
                <w:rFonts w:ascii="Verdana" w:hAnsi="Verdana" w:cstheme="minorHAnsi"/>
              </w:rPr>
              <w:t>-02-20-2</w:t>
            </w:r>
            <w:r>
              <w:rPr>
                <w:rFonts w:ascii="Verdana" w:hAnsi="Verdana" w:cstheme="minorHAnsi"/>
              </w:rPr>
              <w:t>/ 28.08.2018</w:t>
            </w:r>
            <w:r w:rsidRPr="00786685">
              <w:rPr>
                <w:rFonts w:ascii="Verdana" w:hAnsi="Verdana" w:cstheme="minorHAnsi"/>
              </w:rPr>
              <w:t xml:space="preserve"> of the MRRB for road design</w:t>
            </w:r>
            <w:r w:rsidR="00297DCB">
              <w:rPr>
                <w:rFonts w:ascii="Verdana" w:hAnsi="Verdana" w:cstheme="minorHAnsi"/>
              </w:rPr>
              <w:t>,</w:t>
            </w:r>
            <w:r w:rsidRPr="00786685">
              <w:rPr>
                <w:rFonts w:ascii="Verdana" w:hAnsi="Verdana" w:cstheme="minorHAnsi"/>
              </w:rPr>
              <w:t xml:space="preserve"> Annex 15</w:t>
            </w:r>
          </w:p>
        </w:tc>
      </w:tr>
      <w:tr w:rsidR="005446C0" w:rsidRPr="00786685" w14:paraId="415A89F3" w14:textId="77777777" w:rsidTr="00323992">
        <w:tc>
          <w:tcPr>
            <w:tcW w:w="567" w:type="dxa"/>
            <w:vMerge w:val="restart"/>
            <w:tcMar>
              <w:top w:w="57" w:type="dxa"/>
              <w:left w:w="85" w:type="dxa"/>
              <w:bottom w:w="57" w:type="dxa"/>
              <w:right w:w="28" w:type="dxa"/>
            </w:tcMar>
          </w:tcPr>
          <w:p w14:paraId="140071DD" w14:textId="77777777" w:rsidR="005446C0" w:rsidRPr="00786685" w:rsidRDefault="005446C0" w:rsidP="00FE6181">
            <w:pPr>
              <w:jc w:val="center"/>
              <w:rPr>
                <w:rFonts w:ascii="Verdana" w:hAnsi="Verdana" w:cstheme="minorHAnsi"/>
              </w:rPr>
            </w:pPr>
            <w:r w:rsidRPr="00786685">
              <w:rPr>
                <w:rFonts w:ascii="Verdana" w:hAnsi="Verdana" w:cstheme="minorHAnsi"/>
              </w:rPr>
              <w:t>7.</w:t>
            </w:r>
          </w:p>
        </w:tc>
        <w:tc>
          <w:tcPr>
            <w:tcW w:w="2126" w:type="dxa"/>
            <w:vMerge w:val="restart"/>
            <w:tcMar>
              <w:top w:w="57" w:type="dxa"/>
              <w:left w:w="85" w:type="dxa"/>
              <w:bottom w:w="57" w:type="dxa"/>
              <w:right w:w="28" w:type="dxa"/>
            </w:tcMar>
          </w:tcPr>
          <w:p w14:paraId="701CFA2F" w14:textId="77777777" w:rsidR="005446C0" w:rsidRPr="00786685" w:rsidRDefault="005446C0" w:rsidP="003920CF">
            <w:pPr>
              <w:rPr>
                <w:rFonts w:ascii="Verdana" w:hAnsi="Verdana" w:cstheme="minorHAnsi"/>
              </w:rPr>
            </w:pPr>
            <w:r w:rsidRPr="00786685">
              <w:rPr>
                <w:rFonts w:ascii="Verdana" w:hAnsi="Verdana" w:cstheme="minorHAnsi"/>
              </w:rPr>
              <w:t>Concrete and concrete mix</w:t>
            </w:r>
          </w:p>
        </w:tc>
        <w:tc>
          <w:tcPr>
            <w:tcW w:w="2835" w:type="dxa"/>
            <w:tcMar>
              <w:top w:w="57" w:type="dxa"/>
              <w:left w:w="85" w:type="dxa"/>
              <w:bottom w:w="57" w:type="dxa"/>
              <w:right w:w="28" w:type="dxa"/>
            </w:tcMar>
          </w:tcPr>
          <w:p w14:paraId="581DCEF6" w14:textId="15CDD4DA" w:rsidR="005446C0" w:rsidRPr="00786685" w:rsidRDefault="005446C0" w:rsidP="003920CF">
            <w:pPr>
              <w:rPr>
                <w:rFonts w:ascii="Verdana" w:hAnsi="Verdana" w:cstheme="minorHAnsi"/>
              </w:rPr>
            </w:pPr>
            <w:r>
              <w:rPr>
                <w:rFonts w:ascii="Verdana" w:hAnsi="Verdana" w:cstheme="minorHAnsi"/>
                <w:lang w:val="bg-BG"/>
              </w:rPr>
              <w:t xml:space="preserve">7.1. </w:t>
            </w:r>
            <w:r w:rsidRPr="00786685">
              <w:rPr>
                <w:rFonts w:ascii="Verdana" w:hAnsi="Verdana" w:cstheme="minorHAnsi"/>
              </w:rPr>
              <w:t>Compressive strength</w:t>
            </w:r>
          </w:p>
        </w:tc>
        <w:tc>
          <w:tcPr>
            <w:tcW w:w="3827" w:type="dxa"/>
            <w:tcMar>
              <w:top w:w="57" w:type="dxa"/>
              <w:left w:w="85" w:type="dxa"/>
              <w:bottom w:w="57" w:type="dxa"/>
              <w:right w:w="28" w:type="dxa"/>
            </w:tcMar>
          </w:tcPr>
          <w:p w14:paraId="0A9997A0" w14:textId="34848844"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12390-3</w:t>
            </w:r>
          </w:p>
        </w:tc>
      </w:tr>
      <w:tr w:rsidR="005446C0" w:rsidRPr="00786685" w14:paraId="741F0210" w14:textId="77777777" w:rsidTr="00323992">
        <w:tc>
          <w:tcPr>
            <w:tcW w:w="567" w:type="dxa"/>
            <w:vMerge/>
            <w:tcMar>
              <w:top w:w="57" w:type="dxa"/>
              <w:left w:w="85" w:type="dxa"/>
              <w:bottom w:w="57" w:type="dxa"/>
              <w:right w:w="28" w:type="dxa"/>
            </w:tcMar>
          </w:tcPr>
          <w:p w14:paraId="496B0B4A" w14:textId="77777777" w:rsidR="005446C0" w:rsidRPr="00786685" w:rsidRDefault="005446C0" w:rsidP="003920CF">
            <w:pPr>
              <w:rPr>
                <w:rFonts w:ascii="Verdana" w:hAnsi="Verdana" w:cstheme="minorHAnsi"/>
                <w:lang w:val="bg-BG"/>
              </w:rPr>
            </w:pPr>
          </w:p>
        </w:tc>
        <w:tc>
          <w:tcPr>
            <w:tcW w:w="2126" w:type="dxa"/>
            <w:vMerge/>
            <w:tcMar>
              <w:top w:w="57" w:type="dxa"/>
              <w:left w:w="85" w:type="dxa"/>
              <w:bottom w:w="57" w:type="dxa"/>
              <w:right w:w="28" w:type="dxa"/>
            </w:tcMar>
          </w:tcPr>
          <w:p w14:paraId="2A9CF1D2" w14:textId="77777777" w:rsidR="005446C0" w:rsidRPr="00786685" w:rsidRDefault="005446C0" w:rsidP="003920CF">
            <w:pPr>
              <w:rPr>
                <w:rFonts w:ascii="Verdana" w:hAnsi="Verdana" w:cstheme="minorHAnsi"/>
              </w:rPr>
            </w:pPr>
          </w:p>
        </w:tc>
        <w:tc>
          <w:tcPr>
            <w:tcW w:w="2835" w:type="dxa"/>
            <w:tcMar>
              <w:top w:w="57" w:type="dxa"/>
              <w:left w:w="85" w:type="dxa"/>
              <w:bottom w:w="57" w:type="dxa"/>
              <w:right w:w="28" w:type="dxa"/>
            </w:tcMar>
          </w:tcPr>
          <w:p w14:paraId="2FC2EF11" w14:textId="25CF9EBE" w:rsidR="005446C0" w:rsidRPr="00786685" w:rsidRDefault="005446C0" w:rsidP="003920CF">
            <w:pPr>
              <w:rPr>
                <w:rFonts w:ascii="Verdana" w:hAnsi="Verdana" w:cstheme="minorHAnsi"/>
              </w:rPr>
            </w:pPr>
            <w:r>
              <w:rPr>
                <w:rFonts w:ascii="Verdana" w:hAnsi="Verdana" w:cstheme="minorHAnsi"/>
                <w:lang w:val="bg-BG"/>
              </w:rPr>
              <w:t xml:space="preserve">7.2. </w:t>
            </w:r>
            <w:r w:rsidRPr="00786685">
              <w:rPr>
                <w:rFonts w:ascii="Verdana" w:hAnsi="Verdana" w:cstheme="minorHAnsi"/>
              </w:rPr>
              <w:t>Slump</w:t>
            </w:r>
          </w:p>
        </w:tc>
        <w:tc>
          <w:tcPr>
            <w:tcW w:w="3827" w:type="dxa"/>
            <w:tcMar>
              <w:top w:w="57" w:type="dxa"/>
              <w:left w:w="85" w:type="dxa"/>
              <w:bottom w:w="57" w:type="dxa"/>
              <w:right w:w="28" w:type="dxa"/>
            </w:tcMar>
          </w:tcPr>
          <w:p w14:paraId="645A37E4" w14:textId="674874A3" w:rsidR="005446C0" w:rsidRPr="00786685" w:rsidRDefault="005446C0" w:rsidP="003920CF">
            <w:pPr>
              <w:rPr>
                <w:rFonts w:ascii="Verdana" w:hAnsi="Verdana" w:cstheme="minorHAnsi"/>
              </w:rPr>
            </w:pPr>
            <w:r>
              <w:rPr>
                <w:rFonts w:ascii="Verdana" w:hAnsi="Verdana" w:cstheme="minorHAnsi"/>
              </w:rPr>
              <w:t>БДС</w:t>
            </w:r>
            <w:r w:rsidRPr="00786685">
              <w:rPr>
                <w:rFonts w:ascii="Verdana" w:hAnsi="Verdana" w:cstheme="minorHAnsi"/>
              </w:rPr>
              <w:t xml:space="preserve"> EN 12350-2</w:t>
            </w:r>
          </w:p>
        </w:tc>
      </w:tr>
    </w:tbl>
    <w:p w14:paraId="70D8D77F" w14:textId="49D02630" w:rsidR="00DB2C8A" w:rsidRDefault="00DB2C8A" w:rsidP="00F14BAB">
      <w:pPr>
        <w:spacing w:line="276" w:lineRule="auto"/>
        <w:jc w:val="both"/>
        <w:rPr>
          <w:rFonts w:ascii="Verdana" w:hAnsi="Verdana"/>
          <w:b/>
          <w:bCs/>
          <w:color w:val="000000"/>
          <w:lang w:val="en-GB"/>
        </w:rPr>
      </w:pPr>
    </w:p>
    <w:p w14:paraId="35DEA23A" w14:textId="55EDE873" w:rsidR="00780478" w:rsidRPr="00F07AFC" w:rsidRDefault="00780478" w:rsidP="00323992">
      <w:pPr>
        <w:ind w:left="284"/>
        <w:rPr>
          <w:rFonts w:ascii="Verdana" w:hAnsi="Verdana" w:cstheme="minorHAnsi"/>
          <w:b/>
        </w:rPr>
      </w:pPr>
      <w:r w:rsidRPr="00F07AFC">
        <w:rPr>
          <w:rFonts w:ascii="Verdana" w:hAnsi="Verdana" w:cstheme="minorHAnsi"/>
          <w:b/>
        </w:rPr>
        <w:t xml:space="preserve">To perform sampling of: </w:t>
      </w:r>
    </w:p>
    <w:tbl>
      <w:tblPr>
        <w:tblStyle w:val="TableGrid"/>
        <w:tblW w:w="0" w:type="auto"/>
        <w:tblInd w:w="279" w:type="dxa"/>
        <w:tblLook w:val="04A0" w:firstRow="1" w:lastRow="0" w:firstColumn="1" w:lastColumn="0" w:noHBand="0" w:noVBand="1"/>
      </w:tblPr>
      <w:tblGrid>
        <w:gridCol w:w="567"/>
        <w:gridCol w:w="4278"/>
        <w:gridCol w:w="4510"/>
      </w:tblGrid>
      <w:tr w:rsidR="00780478" w:rsidRPr="00F07AFC" w14:paraId="2950EE10" w14:textId="77777777" w:rsidTr="00323992">
        <w:tc>
          <w:tcPr>
            <w:tcW w:w="9355" w:type="dxa"/>
            <w:gridSpan w:val="3"/>
          </w:tcPr>
          <w:p w14:paraId="390253AD" w14:textId="0206E6AC" w:rsidR="00780478" w:rsidRPr="00F07AFC" w:rsidRDefault="00780478" w:rsidP="003920CF">
            <w:pPr>
              <w:rPr>
                <w:rFonts w:ascii="Verdana" w:hAnsi="Verdana" w:cstheme="minorHAnsi"/>
              </w:rPr>
            </w:pPr>
            <w:r w:rsidRPr="00F07AFC">
              <w:rPr>
                <w:rFonts w:ascii="Verdana" w:hAnsi="Verdana" w:cstheme="minorHAnsi"/>
                <w:b/>
                <w:bCs/>
              </w:rPr>
              <w:t>Type of the scope:</w:t>
            </w:r>
            <w:r w:rsidRPr="00F07AFC">
              <w:rPr>
                <w:rFonts w:ascii="Verdana" w:hAnsi="Verdana" w:cstheme="minorHAnsi"/>
              </w:rPr>
              <w:t xml:space="preserve"> </w:t>
            </w:r>
            <w:r w:rsidRPr="00F07AFC">
              <w:rPr>
                <w:rFonts w:ascii="Verdana" w:hAnsi="Verdana" w:cstheme="minorHAnsi"/>
                <w:i/>
                <w:iCs/>
              </w:rPr>
              <w:t>flexible*</w:t>
            </w:r>
          </w:p>
        </w:tc>
      </w:tr>
      <w:tr w:rsidR="00780478" w:rsidRPr="00F07AFC" w14:paraId="1A2C604F" w14:textId="77777777" w:rsidTr="00323992">
        <w:tc>
          <w:tcPr>
            <w:tcW w:w="567" w:type="dxa"/>
            <w:vAlign w:val="center"/>
          </w:tcPr>
          <w:p w14:paraId="20C9A9F7" w14:textId="1B5DF2CE" w:rsidR="00780478" w:rsidRPr="00C96607" w:rsidRDefault="00C96607" w:rsidP="00C96607">
            <w:pPr>
              <w:jc w:val="center"/>
              <w:rPr>
                <w:rFonts w:ascii="Verdana" w:hAnsi="Verdana" w:cstheme="minorHAnsi"/>
                <w:b/>
                <w:bCs/>
              </w:rPr>
            </w:pPr>
            <w:r w:rsidRPr="00C96607">
              <w:rPr>
                <w:rFonts w:ascii="Verdana" w:hAnsi="Verdana" w:cs="Arial"/>
                <w:b/>
                <w:bCs/>
                <w:lang w:val="en-GB"/>
              </w:rPr>
              <w:lastRenderedPageBreak/>
              <w:t>№</w:t>
            </w:r>
          </w:p>
        </w:tc>
        <w:tc>
          <w:tcPr>
            <w:tcW w:w="4278" w:type="dxa"/>
            <w:vAlign w:val="center"/>
          </w:tcPr>
          <w:p w14:paraId="738A2D83" w14:textId="7E388BD2" w:rsidR="00780478" w:rsidRPr="00C96607" w:rsidRDefault="00C96607" w:rsidP="00C96607">
            <w:pPr>
              <w:jc w:val="center"/>
              <w:rPr>
                <w:rFonts w:ascii="Verdana" w:hAnsi="Verdana" w:cstheme="minorHAnsi"/>
                <w:b/>
                <w:bCs/>
              </w:rPr>
            </w:pPr>
            <w:r w:rsidRPr="00C96607">
              <w:rPr>
                <w:rFonts w:ascii="Verdana" w:hAnsi="Verdana" w:cstheme="minorHAnsi"/>
                <w:b/>
                <w:bCs/>
              </w:rPr>
              <w:t>P</w:t>
            </w:r>
            <w:r w:rsidR="00780478" w:rsidRPr="00C96607">
              <w:rPr>
                <w:rFonts w:ascii="Verdana" w:hAnsi="Verdana" w:cstheme="minorHAnsi"/>
                <w:b/>
                <w:bCs/>
              </w:rPr>
              <w:t>roducts</w:t>
            </w:r>
          </w:p>
        </w:tc>
        <w:tc>
          <w:tcPr>
            <w:tcW w:w="4510" w:type="dxa"/>
            <w:vAlign w:val="center"/>
          </w:tcPr>
          <w:p w14:paraId="1700F10E" w14:textId="6A24A86B" w:rsidR="00780478" w:rsidRPr="00C96607" w:rsidRDefault="00C96607" w:rsidP="00C96607">
            <w:pPr>
              <w:jc w:val="center"/>
              <w:rPr>
                <w:rFonts w:ascii="Verdana" w:hAnsi="Verdana" w:cstheme="minorHAnsi"/>
                <w:b/>
                <w:bCs/>
              </w:rPr>
            </w:pPr>
            <w:r w:rsidRPr="00C96607">
              <w:rPr>
                <w:rFonts w:ascii="Verdana" w:hAnsi="Verdana" w:cs="Arial"/>
                <w:b/>
                <w:bCs/>
                <w:lang w:val="en-GB"/>
              </w:rPr>
              <w:t>Methods of sampling</w:t>
            </w:r>
            <w:r w:rsidRPr="00C96607">
              <w:rPr>
                <w:rFonts w:ascii="Verdana" w:hAnsi="Verdana" w:cs="Arial"/>
                <w:b/>
                <w:bCs/>
                <w:lang w:val="en-GB"/>
              </w:rPr>
              <w:br/>
              <w:t>(standardised / validated)</w:t>
            </w:r>
          </w:p>
        </w:tc>
      </w:tr>
      <w:tr w:rsidR="00780478" w:rsidRPr="00F07AFC" w14:paraId="094A29DC" w14:textId="77777777" w:rsidTr="00323992">
        <w:tc>
          <w:tcPr>
            <w:tcW w:w="567" w:type="dxa"/>
          </w:tcPr>
          <w:p w14:paraId="794048A0" w14:textId="7D349FD4" w:rsidR="00780478" w:rsidRPr="00F07AFC" w:rsidRDefault="00780478" w:rsidP="00780478">
            <w:pPr>
              <w:jc w:val="center"/>
              <w:rPr>
                <w:rFonts w:ascii="Verdana" w:hAnsi="Verdana" w:cstheme="minorHAnsi"/>
              </w:rPr>
            </w:pPr>
            <w:r w:rsidRPr="00F07AFC">
              <w:rPr>
                <w:rFonts w:ascii="Verdana" w:hAnsi="Verdana" w:cstheme="minorHAnsi"/>
              </w:rPr>
              <w:t>1</w:t>
            </w:r>
          </w:p>
        </w:tc>
        <w:tc>
          <w:tcPr>
            <w:tcW w:w="4278" w:type="dxa"/>
          </w:tcPr>
          <w:p w14:paraId="322F125E" w14:textId="66E49015" w:rsidR="00780478" w:rsidRPr="00F07AFC" w:rsidRDefault="00780478" w:rsidP="00780478">
            <w:pPr>
              <w:jc w:val="center"/>
              <w:rPr>
                <w:rFonts w:ascii="Verdana" w:hAnsi="Verdana" w:cstheme="minorHAnsi"/>
              </w:rPr>
            </w:pPr>
            <w:r w:rsidRPr="00F07AFC">
              <w:rPr>
                <w:rFonts w:ascii="Verdana" w:hAnsi="Verdana" w:cstheme="minorHAnsi"/>
              </w:rPr>
              <w:t>2</w:t>
            </w:r>
          </w:p>
        </w:tc>
        <w:tc>
          <w:tcPr>
            <w:tcW w:w="4510" w:type="dxa"/>
          </w:tcPr>
          <w:p w14:paraId="52E07DE2" w14:textId="6978706F" w:rsidR="00780478" w:rsidRPr="00F07AFC" w:rsidRDefault="00780478" w:rsidP="00780478">
            <w:pPr>
              <w:jc w:val="center"/>
              <w:rPr>
                <w:rFonts w:ascii="Verdana" w:hAnsi="Verdana" w:cstheme="minorHAnsi"/>
              </w:rPr>
            </w:pPr>
            <w:r w:rsidRPr="00F07AFC">
              <w:rPr>
                <w:rFonts w:ascii="Verdana" w:hAnsi="Verdana" w:cstheme="minorHAnsi"/>
              </w:rPr>
              <w:t>3</w:t>
            </w:r>
          </w:p>
        </w:tc>
      </w:tr>
      <w:tr w:rsidR="00780478" w:rsidRPr="00F07AFC" w14:paraId="251E1479" w14:textId="77777777" w:rsidTr="00323992">
        <w:tc>
          <w:tcPr>
            <w:tcW w:w="567" w:type="dxa"/>
          </w:tcPr>
          <w:p w14:paraId="33776F59" w14:textId="15486BE7" w:rsidR="00780478" w:rsidRPr="00F07AFC" w:rsidRDefault="00780478" w:rsidP="003920CF">
            <w:pPr>
              <w:jc w:val="center"/>
              <w:rPr>
                <w:rFonts w:ascii="Verdana" w:hAnsi="Verdana" w:cstheme="minorHAnsi"/>
              </w:rPr>
            </w:pPr>
            <w:r w:rsidRPr="00F07AFC">
              <w:rPr>
                <w:rFonts w:ascii="Verdana" w:hAnsi="Verdana" w:cstheme="minorHAnsi"/>
              </w:rPr>
              <w:t>1</w:t>
            </w:r>
            <w:r w:rsidR="00F07AFC">
              <w:rPr>
                <w:rFonts w:ascii="Verdana" w:hAnsi="Verdana" w:cstheme="minorHAnsi"/>
              </w:rPr>
              <w:t>.</w:t>
            </w:r>
          </w:p>
        </w:tc>
        <w:tc>
          <w:tcPr>
            <w:tcW w:w="4278" w:type="dxa"/>
          </w:tcPr>
          <w:p w14:paraId="07F7691A" w14:textId="77777777" w:rsidR="00780478" w:rsidRPr="00F07AFC" w:rsidRDefault="00780478" w:rsidP="003920CF">
            <w:pPr>
              <w:rPr>
                <w:rFonts w:ascii="Verdana" w:hAnsi="Verdana" w:cstheme="minorHAnsi"/>
                <w:lang w:val="bg-BG"/>
              </w:rPr>
            </w:pPr>
            <w:r w:rsidRPr="00F07AFC">
              <w:rPr>
                <w:rFonts w:ascii="Verdana" w:hAnsi="Verdana" w:cstheme="minorHAnsi"/>
              </w:rPr>
              <w:t>Asphalt mixtures for road surfaces; asphalt layers</w:t>
            </w:r>
          </w:p>
        </w:tc>
        <w:tc>
          <w:tcPr>
            <w:tcW w:w="4510" w:type="dxa"/>
          </w:tcPr>
          <w:p w14:paraId="3987ADAA" w14:textId="19D41367" w:rsidR="00780478" w:rsidRPr="00F07AFC" w:rsidRDefault="00780478" w:rsidP="00F07AFC">
            <w:pPr>
              <w:rPr>
                <w:rFonts w:ascii="Verdana" w:hAnsi="Verdana" w:cstheme="minorHAnsi"/>
              </w:rPr>
            </w:pPr>
            <w:r w:rsidRPr="00F07AFC">
              <w:rPr>
                <w:rFonts w:ascii="Verdana" w:hAnsi="Verdana" w:cstheme="minorHAnsi"/>
              </w:rPr>
              <w:t>БДС EN 12697-27, cl. 4.1, cl. 4.2, cl. 4.3, cl. 4.4</w:t>
            </w:r>
            <w:r w:rsidR="00297DCB">
              <w:rPr>
                <w:rFonts w:ascii="Verdana" w:hAnsi="Verdana" w:cstheme="minorHAnsi"/>
              </w:rPr>
              <w:t>,</w:t>
            </w:r>
            <w:r w:rsidRPr="00F07AFC">
              <w:rPr>
                <w:rFonts w:ascii="Verdana" w:hAnsi="Verdana" w:cstheme="minorHAnsi"/>
              </w:rPr>
              <w:t xml:space="preserve"> cl. 4.7</w:t>
            </w:r>
          </w:p>
        </w:tc>
      </w:tr>
      <w:tr w:rsidR="00780478" w:rsidRPr="00F07AFC" w14:paraId="733961CA" w14:textId="77777777" w:rsidTr="00323992">
        <w:tc>
          <w:tcPr>
            <w:tcW w:w="567" w:type="dxa"/>
          </w:tcPr>
          <w:p w14:paraId="0E0424E6" w14:textId="59858569" w:rsidR="00780478" w:rsidRPr="00F07AFC" w:rsidRDefault="00F07AFC" w:rsidP="003920CF">
            <w:pPr>
              <w:jc w:val="center"/>
              <w:rPr>
                <w:rFonts w:ascii="Verdana" w:hAnsi="Verdana" w:cstheme="minorHAnsi"/>
              </w:rPr>
            </w:pPr>
            <w:r>
              <w:rPr>
                <w:rFonts w:ascii="Verdana" w:hAnsi="Verdana" w:cstheme="minorHAnsi"/>
              </w:rPr>
              <w:t>2.</w:t>
            </w:r>
          </w:p>
        </w:tc>
        <w:tc>
          <w:tcPr>
            <w:tcW w:w="4278" w:type="dxa"/>
          </w:tcPr>
          <w:p w14:paraId="50085535" w14:textId="77777777" w:rsidR="00780478" w:rsidRPr="00F07AFC" w:rsidRDefault="00780478" w:rsidP="003920CF">
            <w:pPr>
              <w:rPr>
                <w:rFonts w:ascii="Verdana" w:hAnsi="Verdana" w:cstheme="minorHAnsi"/>
              </w:rPr>
            </w:pPr>
            <w:r w:rsidRPr="00F07AFC">
              <w:rPr>
                <w:rFonts w:ascii="Verdana" w:hAnsi="Verdana" w:cstheme="minorHAnsi"/>
              </w:rPr>
              <w:t xml:space="preserve">Mineral flour </w:t>
            </w:r>
          </w:p>
        </w:tc>
        <w:tc>
          <w:tcPr>
            <w:tcW w:w="4510" w:type="dxa"/>
          </w:tcPr>
          <w:p w14:paraId="6AB9C14C" w14:textId="72F8A206" w:rsidR="00780478" w:rsidRPr="00F07AFC" w:rsidRDefault="00780478" w:rsidP="00F07AFC">
            <w:pPr>
              <w:rPr>
                <w:rFonts w:ascii="Verdana" w:hAnsi="Verdana" w:cstheme="minorHAnsi"/>
              </w:rPr>
            </w:pPr>
            <w:r w:rsidRPr="00F07AFC">
              <w:rPr>
                <w:rFonts w:ascii="Verdana" w:hAnsi="Verdana" w:cstheme="minorHAnsi"/>
              </w:rPr>
              <w:t>БДС EN 932-1</w:t>
            </w:r>
          </w:p>
        </w:tc>
      </w:tr>
      <w:tr w:rsidR="00780478" w:rsidRPr="00F07AFC" w14:paraId="1F00BD9E" w14:textId="77777777" w:rsidTr="00323992">
        <w:tc>
          <w:tcPr>
            <w:tcW w:w="567" w:type="dxa"/>
          </w:tcPr>
          <w:p w14:paraId="7B6972C6" w14:textId="04BFD243" w:rsidR="00780478" w:rsidRPr="00F07AFC" w:rsidRDefault="00780478" w:rsidP="003920CF">
            <w:pPr>
              <w:jc w:val="center"/>
              <w:rPr>
                <w:rFonts w:ascii="Verdana" w:hAnsi="Verdana" w:cstheme="minorHAnsi"/>
              </w:rPr>
            </w:pPr>
            <w:r w:rsidRPr="00F07AFC">
              <w:rPr>
                <w:rFonts w:ascii="Verdana" w:hAnsi="Verdana" w:cstheme="minorHAnsi"/>
              </w:rPr>
              <w:t>3</w:t>
            </w:r>
            <w:r w:rsidR="00F07AFC">
              <w:rPr>
                <w:rFonts w:ascii="Verdana" w:hAnsi="Verdana" w:cstheme="minorHAnsi"/>
              </w:rPr>
              <w:t>.</w:t>
            </w:r>
          </w:p>
        </w:tc>
        <w:tc>
          <w:tcPr>
            <w:tcW w:w="4278" w:type="dxa"/>
          </w:tcPr>
          <w:p w14:paraId="17650174" w14:textId="77777777" w:rsidR="00780478" w:rsidRPr="00F07AFC" w:rsidRDefault="00780478" w:rsidP="003920CF">
            <w:pPr>
              <w:rPr>
                <w:rFonts w:ascii="Verdana" w:hAnsi="Verdana" w:cstheme="minorHAnsi"/>
              </w:rPr>
            </w:pPr>
            <w:r w:rsidRPr="00F07AFC">
              <w:rPr>
                <w:rFonts w:ascii="Verdana" w:hAnsi="Verdana" w:cstheme="minorHAnsi"/>
              </w:rPr>
              <w:t>Viscous petroleum bitumen</w:t>
            </w:r>
          </w:p>
        </w:tc>
        <w:tc>
          <w:tcPr>
            <w:tcW w:w="4510" w:type="dxa"/>
          </w:tcPr>
          <w:p w14:paraId="18F58BCC" w14:textId="77F90339" w:rsidR="00780478" w:rsidRPr="00F07AFC" w:rsidRDefault="00780478" w:rsidP="00F07AFC">
            <w:pPr>
              <w:rPr>
                <w:rFonts w:ascii="Verdana" w:hAnsi="Verdana" w:cstheme="minorHAnsi"/>
              </w:rPr>
            </w:pPr>
            <w:r w:rsidRPr="00F07AFC">
              <w:rPr>
                <w:rFonts w:ascii="Verdana" w:hAnsi="Verdana" w:cstheme="minorHAnsi"/>
              </w:rPr>
              <w:t>БДС EN 58</w:t>
            </w:r>
            <w:r w:rsidR="00FC739C">
              <w:rPr>
                <w:rFonts w:ascii="Verdana" w:hAnsi="Verdana" w:cstheme="minorHAnsi"/>
              </w:rPr>
              <w:t>,</w:t>
            </w:r>
            <w:r w:rsidRPr="00F07AFC">
              <w:rPr>
                <w:rFonts w:ascii="Verdana" w:hAnsi="Verdana" w:cstheme="minorHAnsi"/>
              </w:rPr>
              <w:t xml:space="preserve"> cl. 8.1</w:t>
            </w:r>
            <w:r w:rsidR="00297DCB">
              <w:rPr>
                <w:rFonts w:ascii="Verdana" w:hAnsi="Verdana" w:cstheme="minorHAnsi"/>
              </w:rPr>
              <w:t>,</w:t>
            </w:r>
            <w:r w:rsidRPr="00F07AFC">
              <w:rPr>
                <w:rFonts w:ascii="Verdana" w:hAnsi="Verdana" w:cstheme="minorHAnsi"/>
              </w:rPr>
              <w:t xml:space="preserve"> </w:t>
            </w:r>
            <w:r w:rsidR="00F07AFC" w:rsidRPr="00F07AFC">
              <w:rPr>
                <w:rFonts w:ascii="Verdana" w:hAnsi="Verdana" w:cstheme="minorHAnsi"/>
              </w:rPr>
              <w:t xml:space="preserve">cl. </w:t>
            </w:r>
            <w:r w:rsidRPr="00F07AFC">
              <w:rPr>
                <w:rFonts w:ascii="Verdana" w:hAnsi="Verdana" w:cstheme="minorHAnsi"/>
              </w:rPr>
              <w:t>8.2</w:t>
            </w:r>
          </w:p>
        </w:tc>
      </w:tr>
      <w:tr w:rsidR="00780478" w:rsidRPr="00F07AFC" w14:paraId="445EE9D8" w14:textId="77777777" w:rsidTr="00323992">
        <w:tc>
          <w:tcPr>
            <w:tcW w:w="567" w:type="dxa"/>
          </w:tcPr>
          <w:p w14:paraId="7A772C30" w14:textId="4DF205DE" w:rsidR="00780478" w:rsidRPr="00F07AFC" w:rsidRDefault="00780478" w:rsidP="003920CF">
            <w:pPr>
              <w:jc w:val="center"/>
              <w:rPr>
                <w:rFonts w:ascii="Verdana" w:hAnsi="Verdana" w:cstheme="minorHAnsi"/>
              </w:rPr>
            </w:pPr>
            <w:r w:rsidRPr="00F07AFC">
              <w:rPr>
                <w:rFonts w:ascii="Verdana" w:hAnsi="Verdana" w:cstheme="minorHAnsi"/>
              </w:rPr>
              <w:t>4</w:t>
            </w:r>
            <w:r w:rsidR="00F07AFC">
              <w:rPr>
                <w:rFonts w:ascii="Verdana" w:hAnsi="Verdana" w:cstheme="minorHAnsi"/>
              </w:rPr>
              <w:t>.</w:t>
            </w:r>
          </w:p>
        </w:tc>
        <w:tc>
          <w:tcPr>
            <w:tcW w:w="4278" w:type="dxa"/>
          </w:tcPr>
          <w:p w14:paraId="48E72CD1" w14:textId="77777777" w:rsidR="00780478" w:rsidRPr="00F07AFC" w:rsidRDefault="00780478" w:rsidP="003920CF">
            <w:pPr>
              <w:rPr>
                <w:rFonts w:ascii="Verdana" w:hAnsi="Verdana" w:cstheme="minorHAnsi"/>
              </w:rPr>
            </w:pPr>
            <w:r w:rsidRPr="00F07AFC">
              <w:rPr>
                <w:rFonts w:ascii="Verdana" w:hAnsi="Verdana" w:cstheme="minorHAnsi"/>
              </w:rPr>
              <w:t xml:space="preserve">Construction soils </w:t>
            </w:r>
          </w:p>
        </w:tc>
        <w:tc>
          <w:tcPr>
            <w:tcW w:w="4510" w:type="dxa"/>
          </w:tcPr>
          <w:p w14:paraId="67AF1FAC" w14:textId="2AB1C9B8" w:rsidR="00780478" w:rsidRPr="00F07AFC" w:rsidRDefault="00780478" w:rsidP="00F07AFC">
            <w:pPr>
              <w:rPr>
                <w:rFonts w:ascii="Verdana" w:hAnsi="Verdana" w:cstheme="minorHAnsi"/>
              </w:rPr>
            </w:pPr>
            <w:r w:rsidRPr="00F07AFC">
              <w:rPr>
                <w:rFonts w:ascii="Verdana" w:hAnsi="Verdana" w:cstheme="minorHAnsi"/>
              </w:rPr>
              <w:t>БДС EN 932-1</w:t>
            </w:r>
          </w:p>
        </w:tc>
      </w:tr>
      <w:tr w:rsidR="00780478" w:rsidRPr="00F07AFC" w14:paraId="3BCB7B90" w14:textId="77777777" w:rsidTr="00323992">
        <w:tc>
          <w:tcPr>
            <w:tcW w:w="567" w:type="dxa"/>
          </w:tcPr>
          <w:p w14:paraId="083DCD94" w14:textId="58D7F1F5" w:rsidR="00780478" w:rsidRPr="00F07AFC" w:rsidRDefault="00780478" w:rsidP="003920CF">
            <w:pPr>
              <w:jc w:val="center"/>
              <w:rPr>
                <w:rFonts w:ascii="Verdana" w:hAnsi="Verdana" w:cstheme="minorHAnsi"/>
              </w:rPr>
            </w:pPr>
            <w:r w:rsidRPr="00F07AFC">
              <w:rPr>
                <w:rFonts w:ascii="Verdana" w:hAnsi="Verdana" w:cstheme="minorHAnsi"/>
              </w:rPr>
              <w:t>5</w:t>
            </w:r>
            <w:r w:rsidR="00F07AFC">
              <w:rPr>
                <w:rFonts w:ascii="Verdana" w:hAnsi="Verdana" w:cstheme="minorHAnsi"/>
              </w:rPr>
              <w:t>.</w:t>
            </w:r>
          </w:p>
        </w:tc>
        <w:tc>
          <w:tcPr>
            <w:tcW w:w="4278" w:type="dxa"/>
          </w:tcPr>
          <w:p w14:paraId="46044C88" w14:textId="77777777" w:rsidR="00780478" w:rsidRPr="00F07AFC" w:rsidRDefault="00780478" w:rsidP="003920CF">
            <w:pPr>
              <w:rPr>
                <w:rFonts w:ascii="Verdana" w:hAnsi="Verdana" w:cstheme="minorHAnsi"/>
                <w:lang w:val="bg-BG"/>
              </w:rPr>
            </w:pPr>
            <w:r w:rsidRPr="00F07AFC">
              <w:rPr>
                <w:rFonts w:ascii="Verdana" w:hAnsi="Verdana" w:cstheme="minorHAnsi"/>
              </w:rPr>
              <w:t>Rock materials</w:t>
            </w:r>
          </w:p>
        </w:tc>
        <w:tc>
          <w:tcPr>
            <w:tcW w:w="4510" w:type="dxa"/>
          </w:tcPr>
          <w:p w14:paraId="2DF8C5DD" w14:textId="372D747F" w:rsidR="00780478" w:rsidRPr="00F07AFC" w:rsidRDefault="00780478" w:rsidP="00F07AFC">
            <w:pPr>
              <w:rPr>
                <w:rFonts w:ascii="Verdana" w:hAnsi="Verdana" w:cstheme="minorHAnsi"/>
              </w:rPr>
            </w:pPr>
            <w:r w:rsidRPr="00F07AFC">
              <w:rPr>
                <w:rFonts w:ascii="Verdana" w:hAnsi="Verdana" w:cstheme="minorHAnsi"/>
              </w:rPr>
              <w:t>БДС EN 932-1</w:t>
            </w:r>
          </w:p>
        </w:tc>
      </w:tr>
    </w:tbl>
    <w:p w14:paraId="4443F552" w14:textId="77777777" w:rsidR="00770C9D" w:rsidRPr="00DB782C" w:rsidRDefault="00770C9D" w:rsidP="001F2FC6">
      <w:pPr>
        <w:jc w:val="both"/>
        <w:rPr>
          <w:rFonts w:ascii="Verdana" w:hAnsi="Verdana" w:cs="Arial"/>
          <w:b/>
          <w:i/>
          <w:lang w:val="de-DE"/>
        </w:rPr>
      </w:pPr>
    </w:p>
    <w:p w14:paraId="7E2712CB" w14:textId="148C6D55" w:rsidR="007637FA" w:rsidRDefault="006845E9" w:rsidP="00323992">
      <w:pPr>
        <w:ind w:left="284" w:right="113"/>
        <w:jc w:val="both"/>
        <w:rPr>
          <w:rFonts w:ascii="Verdana" w:hAnsi="Verdana" w:cs="Verdana"/>
          <w:i/>
        </w:rPr>
      </w:pPr>
      <w:r>
        <w:rPr>
          <w:rFonts w:ascii="Verdana" w:hAnsi="Verdana" w:cs="Arial"/>
          <w:b/>
          <w:i/>
          <w:lang w:val="en-GB"/>
        </w:rPr>
        <w:t>*</w:t>
      </w:r>
      <w:r w:rsidR="007637FA" w:rsidRPr="001E2818">
        <w:rPr>
          <w:rFonts w:ascii="Verdana" w:hAnsi="Verdana"/>
          <w:b/>
          <w:i/>
        </w:rPr>
        <w:t>Flexible Scope:</w:t>
      </w:r>
      <w:r w:rsidR="007637FA">
        <w:rPr>
          <w:rFonts w:ascii="Verdana" w:hAnsi="Verdana"/>
          <w:b/>
          <w:i/>
          <w:lang w:val="bg-BG"/>
        </w:rPr>
        <w:t xml:space="preserve"> </w:t>
      </w:r>
      <w:r w:rsidR="00BC2F4A" w:rsidRPr="00CB46F6">
        <w:rPr>
          <w:rFonts w:ascii="Verdana" w:hAnsi="Verdana" w:cs="Verdana"/>
          <w:i/>
        </w:rPr>
        <w:t>Implementing a new version of standards/documents or standards / documents replacing them is allowed. An updated list of standards/documents and their dated versions is provided by laboratory</w:t>
      </w:r>
      <w:r w:rsidR="00BC2F4A">
        <w:rPr>
          <w:rFonts w:ascii="Verdana" w:hAnsi="Verdana" w:cs="Verdana"/>
          <w:i/>
        </w:rPr>
        <w:t>.</w:t>
      </w:r>
    </w:p>
    <w:p w14:paraId="6A4B212E" w14:textId="77777777" w:rsidR="008C383C" w:rsidRDefault="008C383C" w:rsidP="00323992">
      <w:pPr>
        <w:ind w:left="284" w:right="113"/>
        <w:jc w:val="both"/>
        <w:rPr>
          <w:rFonts w:ascii="Verdana" w:hAnsi="Verdana"/>
          <w:i/>
          <w:iCs/>
        </w:rPr>
      </w:pPr>
    </w:p>
    <w:p w14:paraId="7087F2F2" w14:textId="71983ECD" w:rsidR="00846322" w:rsidRPr="00BC2F4A" w:rsidRDefault="00846322" w:rsidP="00323992">
      <w:pPr>
        <w:spacing w:line="255" w:lineRule="atLeast"/>
        <w:ind w:left="284" w:right="113"/>
        <w:jc w:val="both"/>
        <w:rPr>
          <w:rFonts w:ascii="Verdana" w:hAnsi="Verdana" w:cs="Arial"/>
          <w:i/>
          <w:iCs/>
          <w:lang w:val="bg-BG"/>
        </w:rPr>
      </w:pPr>
      <w:r w:rsidRPr="00BC2F4A">
        <w:rPr>
          <w:rFonts w:ascii="Verdana" w:hAnsi="Verdana" w:cs="Arial"/>
          <w:i/>
          <w:iCs/>
          <w:lang w:val="en-GB"/>
        </w:rPr>
        <w:t>*</w:t>
      </w:r>
      <w:r w:rsidR="00BC2F4A" w:rsidRPr="00BC2F4A">
        <w:rPr>
          <w:rFonts w:ascii="Verdana" w:hAnsi="Verdana"/>
          <w:i/>
        </w:rPr>
        <w:t>*</w:t>
      </w:r>
      <w:proofErr w:type="spellStart"/>
      <w:r w:rsidR="00BC2F4A" w:rsidRPr="00BC2F4A">
        <w:rPr>
          <w:rFonts w:ascii="Verdana" w:hAnsi="Verdana"/>
          <w:i/>
          <w:lang w:val="bg-BG"/>
        </w:rPr>
        <w:t>Repealed</w:t>
      </w:r>
      <w:proofErr w:type="spellEnd"/>
      <w:r w:rsidR="00BC2F4A" w:rsidRPr="00BC2F4A">
        <w:rPr>
          <w:rFonts w:ascii="Verdana" w:hAnsi="Verdana"/>
          <w:i/>
        </w:rPr>
        <w:t xml:space="preserve"> </w:t>
      </w:r>
      <w:proofErr w:type="spellStart"/>
      <w:r w:rsidR="00BC2F4A" w:rsidRPr="00BC2F4A">
        <w:rPr>
          <w:rFonts w:ascii="Verdana" w:hAnsi="Verdana"/>
          <w:i/>
          <w:lang w:val="bg-BG"/>
        </w:rPr>
        <w:t>but</w:t>
      </w:r>
      <w:proofErr w:type="spellEnd"/>
      <w:r w:rsidR="00BC2F4A" w:rsidRPr="00BC2F4A">
        <w:rPr>
          <w:rFonts w:ascii="Verdana" w:hAnsi="Verdana"/>
          <w:i/>
          <w:lang w:val="bg-BG"/>
        </w:rPr>
        <w:t xml:space="preserve"> </w:t>
      </w:r>
      <w:proofErr w:type="spellStart"/>
      <w:r w:rsidR="00BC2F4A" w:rsidRPr="00BC2F4A">
        <w:rPr>
          <w:rFonts w:ascii="Verdana" w:hAnsi="Verdana"/>
          <w:i/>
          <w:lang w:val="bg-BG"/>
        </w:rPr>
        <w:t>not</w:t>
      </w:r>
      <w:proofErr w:type="spellEnd"/>
      <w:r w:rsidR="00BC2F4A" w:rsidRPr="00BC2F4A">
        <w:rPr>
          <w:rFonts w:ascii="Verdana" w:hAnsi="Verdana"/>
          <w:i/>
          <w:lang w:val="bg-BG"/>
        </w:rPr>
        <w:t xml:space="preserve"> </w:t>
      </w:r>
      <w:r w:rsidR="00BC2F4A" w:rsidRPr="00BC2F4A">
        <w:rPr>
          <w:rFonts w:ascii="Verdana" w:hAnsi="Verdana"/>
          <w:i/>
        </w:rPr>
        <w:t>replaced</w:t>
      </w:r>
      <w:r w:rsidR="00BC2F4A" w:rsidRPr="00BC2F4A">
        <w:rPr>
          <w:rFonts w:ascii="Verdana" w:hAnsi="Verdana"/>
          <w:i/>
          <w:lang w:val="bg-BG"/>
        </w:rPr>
        <w:t xml:space="preserve"> </w:t>
      </w:r>
      <w:proofErr w:type="spellStart"/>
      <w:r w:rsidR="00BC2F4A" w:rsidRPr="00BC2F4A">
        <w:rPr>
          <w:rFonts w:ascii="Verdana" w:hAnsi="Verdana"/>
          <w:i/>
          <w:lang w:val="bg-BG"/>
        </w:rPr>
        <w:t>standard</w:t>
      </w:r>
      <w:proofErr w:type="spellEnd"/>
      <w:r w:rsidR="00BC2F4A" w:rsidRPr="00BC2F4A">
        <w:rPr>
          <w:rFonts w:ascii="Verdana" w:hAnsi="Verdana"/>
          <w:i/>
          <w:lang w:val="bg-BG"/>
        </w:rPr>
        <w:t xml:space="preserve"> </w:t>
      </w:r>
      <w:proofErr w:type="spellStart"/>
      <w:r w:rsidR="00BC2F4A" w:rsidRPr="00BC2F4A">
        <w:rPr>
          <w:rFonts w:ascii="Verdana" w:hAnsi="Verdana"/>
          <w:i/>
          <w:lang w:val="bg-BG"/>
        </w:rPr>
        <w:t>with</w:t>
      </w:r>
      <w:proofErr w:type="spellEnd"/>
      <w:r w:rsidR="00BC2F4A" w:rsidRPr="00BC2F4A">
        <w:rPr>
          <w:rFonts w:ascii="Verdana" w:hAnsi="Verdana"/>
          <w:i/>
          <w:lang w:val="bg-BG"/>
        </w:rPr>
        <w:t xml:space="preserve"> </w:t>
      </w:r>
      <w:proofErr w:type="spellStart"/>
      <w:r w:rsidR="00BC2F4A" w:rsidRPr="00BC2F4A">
        <w:rPr>
          <w:rFonts w:ascii="Verdana" w:hAnsi="Verdana"/>
          <w:i/>
          <w:lang w:val="bg-BG"/>
        </w:rPr>
        <w:t>regard</w:t>
      </w:r>
      <w:proofErr w:type="spellEnd"/>
      <w:r w:rsidR="00BC2F4A" w:rsidRPr="00BC2F4A">
        <w:rPr>
          <w:rFonts w:ascii="Verdana" w:hAnsi="Verdana"/>
          <w:i/>
          <w:lang w:val="bg-BG"/>
        </w:rPr>
        <w:t xml:space="preserve"> </w:t>
      </w:r>
      <w:proofErr w:type="spellStart"/>
      <w:r w:rsidR="00BC2F4A" w:rsidRPr="00BC2F4A">
        <w:rPr>
          <w:rFonts w:ascii="Verdana" w:hAnsi="Verdana"/>
          <w:i/>
          <w:lang w:val="bg-BG"/>
        </w:rPr>
        <w:t>to</w:t>
      </w:r>
      <w:proofErr w:type="spellEnd"/>
      <w:r w:rsidR="00BC2F4A" w:rsidRPr="00BC2F4A">
        <w:rPr>
          <w:rFonts w:ascii="Verdana" w:hAnsi="Verdana"/>
          <w:i/>
          <w:lang w:val="bg-BG"/>
        </w:rPr>
        <w:t xml:space="preserve"> </w:t>
      </w:r>
      <w:proofErr w:type="spellStart"/>
      <w:r w:rsidR="00BC2F4A" w:rsidRPr="00BC2F4A">
        <w:rPr>
          <w:rFonts w:ascii="Verdana" w:hAnsi="Verdana"/>
          <w:i/>
          <w:lang w:val="bg-BG"/>
        </w:rPr>
        <w:t>the</w:t>
      </w:r>
      <w:proofErr w:type="spellEnd"/>
      <w:r w:rsidR="00BC2F4A" w:rsidRPr="00BC2F4A">
        <w:rPr>
          <w:rFonts w:ascii="Verdana" w:hAnsi="Verdana"/>
          <w:i/>
          <w:lang w:val="bg-BG"/>
        </w:rPr>
        <w:t xml:space="preserve"> </w:t>
      </w:r>
      <w:proofErr w:type="spellStart"/>
      <w:r w:rsidR="00BC2F4A" w:rsidRPr="00BC2F4A">
        <w:rPr>
          <w:rFonts w:ascii="Verdana" w:hAnsi="Verdana"/>
          <w:i/>
          <w:lang w:val="bg-BG"/>
        </w:rPr>
        <w:t>test</w:t>
      </w:r>
      <w:r w:rsidR="00BC2F4A" w:rsidRPr="00BC2F4A">
        <w:rPr>
          <w:rFonts w:ascii="Verdana" w:hAnsi="Verdana"/>
          <w:i/>
        </w:rPr>
        <w:t>ing</w:t>
      </w:r>
      <w:proofErr w:type="spellEnd"/>
      <w:r w:rsidR="00BC2F4A" w:rsidRPr="00BC2F4A">
        <w:rPr>
          <w:rFonts w:ascii="Verdana" w:hAnsi="Verdana"/>
          <w:i/>
          <w:lang w:val="bg-BG"/>
        </w:rPr>
        <w:t xml:space="preserve"> </w:t>
      </w:r>
      <w:proofErr w:type="spellStart"/>
      <w:r w:rsidR="00BC2F4A" w:rsidRPr="00BC2F4A">
        <w:rPr>
          <w:rFonts w:ascii="Verdana" w:hAnsi="Verdana"/>
          <w:i/>
          <w:lang w:val="bg-BG"/>
        </w:rPr>
        <w:t>method</w:t>
      </w:r>
      <w:proofErr w:type="spellEnd"/>
      <w:r w:rsidRPr="00BC2F4A">
        <w:rPr>
          <w:rFonts w:ascii="Verdana" w:hAnsi="Verdana" w:cs="Arial"/>
          <w:i/>
          <w:iCs/>
          <w:lang w:val="bg-BG"/>
        </w:rPr>
        <w:t>.</w:t>
      </w:r>
    </w:p>
    <w:p w14:paraId="4D03EAD9" w14:textId="77777777" w:rsidR="008C383C" w:rsidRDefault="008C383C" w:rsidP="00323992">
      <w:pPr>
        <w:ind w:left="284" w:right="113"/>
        <w:jc w:val="both"/>
        <w:rPr>
          <w:rFonts w:ascii="Verdana" w:hAnsi="Verdana" w:cs="Arial"/>
          <w:b/>
          <w:iCs/>
          <w:lang w:val="en-GB"/>
        </w:rPr>
      </w:pPr>
    </w:p>
    <w:p w14:paraId="78BE939F" w14:textId="3C34B4AB" w:rsidR="00F953EC" w:rsidRPr="00F953EC" w:rsidRDefault="00BC2F4A" w:rsidP="00323992">
      <w:pPr>
        <w:ind w:left="284" w:right="113"/>
        <w:jc w:val="both"/>
        <w:rPr>
          <w:rFonts w:ascii="Verdana" w:hAnsi="Verdana" w:cs="Arial"/>
          <w:b/>
          <w:iCs/>
          <w:lang w:val="en-GB"/>
        </w:rPr>
      </w:pPr>
      <w:r>
        <w:rPr>
          <w:rFonts w:ascii="Verdana" w:hAnsi="Verdana" w:cs="Arial"/>
          <w:b/>
          <w:iCs/>
          <w:lang w:val="en-GB"/>
        </w:rPr>
        <w:t>R</w:t>
      </w:r>
      <w:r w:rsidR="00F953EC" w:rsidRPr="00F953EC">
        <w:rPr>
          <w:rFonts w:ascii="Verdana" w:hAnsi="Verdana" w:cs="Arial"/>
          <w:b/>
          <w:iCs/>
          <w:lang w:val="en-GB"/>
        </w:rPr>
        <w:t xml:space="preserve">eferences: </w:t>
      </w:r>
    </w:p>
    <w:p w14:paraId="0CD1B7E1" w14:textId="3B9133AB" w:rsidR="00A676BC" w:rsidRDefault="00A676BC" w:rsidP="00323992">
      <w:pPr>
        <w:overflowPunct/>
        <w:autoSpaceDE/>
        <w:autoSpaceDN/>
        <w:adjustRightInd/>
        <w:spacing w:line="276" w:lineRule="auto"/>
        <w:ind w:left="284" w:right="113"/>
        <w:contextualSpacing/>
        <w:jc w:val="both"/>
        <w:textAlignment w:val="auto"/>
        <w:rPr>
          <w:rFonts w:ascii="Verdana" w:hAnsi="Verdana" w:cstheme="minorHAnsi"/>
        </w:rPr>
      </w:pPr>
      <w:r>
        <w:rPr>
          <w:rFonts w:ascii="Verdana" w:hAnsi="Verdana" w:cstheme="minorHAnsi"/>
        </w:rPr>
        <w:t xml:space="preserve">1. </w:t>
      </w:r>
      <w:r w:rsidRPr="00A676BC">
        <w:rPr>
          <w:rFonts w:ascii="Verdana" w:hAnsi="Verdana" w:cstheme="minorHAnsi"/>
        </w:rPr>
        <w:t xml:space="preserve">Annex </w:t>
      </w:r>
      <w:r>
        <w:rPr>
          <w:rFonts w:ascii="Verdana" w:hAnsi="Verdana" w:cstheme="minorHAnsi"/>
          <w:lang w:val="bg-BG"/>
        </w:rPr>
        <w:t>№</w:t>
      </w:r>
      <w:r w:rsidRPr="00A676BC">
        <w:rPr>
          <w:rFonts w:ascii="Verdana" w:hAnsi="Verdana" w:cstheme="minorHAnsi"/>
        </w:rPr>
        <w:t xml:space="preserve"> 15 to Art. 160, </w:t>
      </w:r>
      <w:r w:rsidR="00780478">
        <w:rPr>
          <w:rFonts w:ascii="Verdana" w:hAnsi="Verdana" w:cstheme="minorHAnsi"/>
        </w:rPr>
        <w:t>item</w:t>
      </w:r>
      <w:r w:rsidRPr="00A676BC">
        <w:rPr>
          <w:rFonts w:ascii="Verdana" w:hAnsi="Verdana" w:cstheme="minorHAnsi"/>
        </w:rPr>
        <w:t xml:space="preserve"> 3 of </w:t>
      </w:r>
      <w:r>
        <w:rPr>
          <w:rFonts w:ascii="Verdana" w:hAnsi="Verdana" w:cstheme="minorHAnsi"/>
        </w:rPr>
        <w:t>Ordinance №</w:t>
      </w:r>
      <w:r w:rsidRPr="00A676BC">
        <w:rPr>
          <w:rFonts w:ascii="Verdana" w:hAnsi="Verdana" w:cstheme="minorHAnsi"/>
        </w:rPr>
        <w:t xml:space="preserve"> </w:t>
      </w:r>
      <w:r>
        <w:rPr>
          <w:rFonts w:ascii="Verdana" w:hAnsi="Verdana" w:cstheme="minorHAnsi"/>
          <w:lang w:val="bg-BG"/>
        </w:rPr>
        <w:t>РД</w:t>
      </w:r>
      <w:r w:rsidRPr="00A676BC">
        <w:rPr>
          <w:rFonts w:ascii="Verdana" w:hAnsi="Verdana" w:cstheme="minorHAnsi"/>
        </w:rPr>
        <w:t>-02-20-2/28.08.2018 on Road Design: Method for Determination of the Liquid Limit Soils;</w:t>
      </w:r>
    </w:p>
    <w:p w14:paraId="4C780561" w14:textId="77777777" w:rsidR="00323992" w:rsidRPr="00A676BC" w:rsidRDefault="00323992" w:rsidP="00323992">
      <w:pPr>
        <w:overflowPunct/>
        <w:autoSpaceDE/>
        <w:autoSpaceDN/>
        <w:adjustRightInd/>
        <w:spacing w:line="276" w:lineRule="auto"/>
        <w:ind w:left="284" w:right="113"/>
        <w:contextualSpacing/>
        <w:jc w:val="both"/>
        <w:textAlignment w:val="auto"/>
        <w:rPr>
          <w:rFonts w:ascii="Verdana" w:hAnsi="Verdana" w:cstheme="minorHAnsi"/>
        </w:rPr>
      </w:pPr>
    </w:p>
    <w:p w14:paraId="6487F6EC" w14:textId="12DCB52F" w:rsidR="00A676BC" w:rsidRDefault="00A676BC" w:rsidP="00323992">
      <w:pPr>
        <w:overflowPunct/>
        <w:autoSpaceDE/>
        <w:autoSpaceDN/>
        <w:adjustRightInd/>
        <w:spacing w:line="276" w:lineRule="auto"/>
        <w:ind w:left="284" w:right="113"/>
        <w:contextualSpacing/>
        <w:jc w:val="both"/>
        <w:textAlignment w:val="auto"/>
        <w:rPr>
          <w:rFonts w:ascii="Verdana" w:hAnsi="Verdana" w:cstheme="minorHAnsi"/>
        </w:rPr>
      </w:pPr>
      <w:r>
        <w:rPr>
          <w:rFonts w:ascii="Verdana" w:hAnsi="Verdana" w:cstheme="minorHAnsi"/>
        </w:rPr>
        <w:t xml:space="preserve">2. </w:t>
      </w:r>
      <w:r w:rsidRPr="00A676BC">
        <w:rPr>
          <w:rFonts w:ascii="Verdana" w:hAnsi="Verdana" w:cstheme="minorHAnsi"/>
        </w:rPr>
        <w:t xml:space="preserve">Annex </w:t>
      </w:r>
      <w:r>
        <w:rPr>
          <w:rFonts w:ascii="Verdana" w:hAnsi="Verdana" w:cstheme="minorHAnsi"/>
          <w:lang w:val="bg-BG"/>
        </w:rPr>
        <w:t>№</w:t>
      </w:r>
      <w:r w:rsidRPr="00A676BC">
        <w:rPr>
          <w:rFonts w:ascii="Verdana" w:hAnsi="Verdana" w:cstheme="minorHAnsi"/>
        </w:rPr>
        <w:t xml:space="preserve"> 16 to Art. 160, </w:t>
      </w:r>
      <w:r w:rsidR="00780478">
        <w:rPr>
          <w:rFonts w:ascii="Verdana" w:hAnsi="Verdana" w:cstheme="minorHAnsi"/>
        </w:rPr>
        <w:t>item</w:t>
      </w:r>
      <w:r w:rsidR="00780478" w:rsidRPr="00A676BC">
        <w:rPr>
          <w:rFonts w:ascii="Verdana" w:hAnsi="Verdana" w:cstheme="minorHAnsi"/>
        </w:rPr>
        <w:t xml:space="preserve"> </w:t>
      </w:r>
      <w:r w:rsidRPr="00A676BC">
        <w:rPr>
          <w:rFonts w:ascii="Verdana" w:hAnsi="Verdana" w:cstheme="minorHAnsi"/>
        </w:rPr>
        <w:t xml:space="preserve">3 of </w:t>
      </w:r>
      <w:r>
        <w:rPr>
          <w:rFonts w:ascii="Verdana" w:hAnsi="Verdana" w:cstheme="minorHAnsi"/>
        </w:rPr>
        <w:t>Ordinance №</w:t>
      </w:r>
      <w:r w:rsidRPr="00A676BC">
        <w:rPr>
          <w:rFonts w:ascii="Verdana" w:hAnsi="Verdana" w:cstheme="minorHAnsi"/>
        </w:rPr>
        <w:t xml:space="preserve"> </w:t>
      </w:r>
      <w:r>
        <w:rPr>
          <w:rFonts w:ascii="Verdana" w:hAnsi="Verdana" w:cstheme="minorHAnsi"/>
          <w:lang w:val="bg-BG"/>
        </w:rPr>
        <w:t>РД</w:t>
      </w:r>
      <w:r w:rsidRPr="00A676BC">
        <w:rPr>
          <w:rFonts w:ascii="Verdana" w:hAnsi="Verdana" w:cstheme="minorHAnsi"/>
        </w:rPr>
        <w:t>-02-20-2/28.08.2018 on Road Design: Method for Determination of the Plastic limit of Soils and the Plasticity Index of Soils;</w:t>
      </w:r>
    </w:p>
    <w:p w14:paraId="381F773C" w14:textId="77777777" w:rsidR="00323992" w:rsidRPr="00A676BC" w:rsidRDefault="00323992" w:rsidP="00323992">
      <w:pPr>
        <w:overflowPunct/>
        <w:autoSpaceDE/>
        <w:autoSpaceDN/>
        <w:adjustRightInd/>
        <w:spacing w:line="276" w:lineRule="auto"/>
        <w:ind w:left="284" w:right="113"/>
        <w:contextualSpacing/>
        <w:jc w:val="both"/>
        <w:textAlignment w:val="auto"/>
        <w:rPr>
          <w:rFonts w:ascii="Verdana" w:hAnsi="Verdana" w:cstheme="minorHAnsi"/>
        </w:rPr>
      </w:pPr>
    </w:p>
    <w:p w14:paraId="6BE1678A" w14:textId="2DDC0258" w:rsidR="00F953EC" w:rsidRPr="00A676BC" w:rsidRDefault="00A676BC" w:rsidP="00323992">
      <w:pPr>
        <w:overflowPunct/>
        <w:autoSpaceDE/>
        <w:autoSpaceDN/>
        <w:adjustRightInd/>
        <w:spacing w:line="276" w:lineRule="auto"/>
        <w:ind w:left="284" w:right="113"/>
        <w:contextualSpacing/>
        <w:jc w:val="both"/>
        <w:textAlignment w:val="auto"/>
        <w:rPr>
          <w:rFonts w:ascii="Verdana" w:hAnsi="Verdana" w:cs="Arial"/>
          <w:bCs/>
          <w:iCs/>
          <w:lang w:val="bg-BG"/>
        </w:rPr>
      </w:pPr>
      <w:r>
        <w:rPr>
          <w:rFonts w:ascii="Verdana" w:hAnsi="Verdana" w:cstheme="minorHAnsi"/>
        </w:rPr>
        <w:t xml:space="preserve">3. </w:t>
      </w:r>
      <w:r w:rsidRPr="00A676BC">
        <w:rPr>
          <w:rFonts w:ascii="Verdana" w:hAnsi="Verdana" w:cstheme="minorHAnsi"/>
        </w:rPr>
        <w:t xml:space="preserve">Annex </w:t>
      </w:r>
      <w:r>
        <w:rPr>
          <w:rFonts w:ascii="Verdana" w:hAnsi="Verdana" w:cstheme="minorHAnsi"/>
          <w:lang w:val="bg-BG"/>
        </w:rPr>
        <w:t>№</w:t>
      </w:r>
      <w:r w:rsidRPr="00A676BC">
        <w:rPr>
          <w:rFonts w:ascii="Verdana" w:hAnsi="Verdana" w:cstheme="minorHAnsi"/>
        </w:rPr>
        <w:t xml:space="preserve"> 18 to Art. 160, </w:t>
      </w:r>
      <w:r w:rsidR="00780478">
        <w:rPr>
          <w:rFonts w:ascii="Verdana" w:hAnsi="Verdana" w:cstheme="minorHAnsi"/>
        </w:rPr>
        <w:t>item</w:t>
      </w:r>
      <w:r w:rsidRPr="00A676BC">
        <w:rPr>
          <w:rFonts w:ascii="Verdana" w:hAnsi="Verdana" w:cstheme="minorHAnsi"/>
        </w:rPr>
        <w:t xml:space="preserve"> 3 of </w:t>
      </w:r>
      <w:r>
        <w:rPr>
          <w:rFonts w:ascii="Verdana" w:hAnsi="Verdana" w:cstheme="minorHAnsi"/>
        </w:rPr>
        <w:t>Ordinance №</w:t>
      </w:r>
      <w:r w:rsidRPr="00A676BC">
        <w:rPr>
          <w:rFonts w:ascii="Verdana" w:hAnsi="Verdana" w:cstheme="minorHAnsi"/>
        </w:rPr>
        <w:t xml:space="preserve"> </w:t>
      </w:r>
      <w:r>
        <w:rPr>
          <w:rFonts w:ascii="Verdana" w:hAnsi="Verdana" w:cstheme="minorHAnsi"/>
          <w:lang w:val="bg-BG"/>
        </w:rPr>
        <w:t>РД</w:t>
      </w:r>
      <w:r w:rsidRPr="00A676BC">
        <w:rPr>
          <w:rFonts w:ascii="Verdana" w:hAnsi="Verdana" w:cstheme="minorHAnsi"/>
        </w:rPr>
        <w:t xml:space="preserve">-02-20-2/28.08.2018 on Road Design: Method for Determination of the Bulk Density of Constructions Soils in situ using Sand </w:t>
      </w:r>
      <w:proofErr w:type="spellStart"/>
      <w:r w:rsidRPr="00A676BC">
        <w:rPr>
          <w:rFonts w:ascii="Verdana" w:hAnsi="Verdana" w:cstheme="minorHAnsi"/>
        </w:rPr>
        <w:t>Replasement</w:t>
      </w:r>
      <w:proofErr w:type="spellEnd"/>
      <w:r w:rsidRPr="00A676BC">
        <w:rPr>
          <w:rFonts w:ascii="Verdana" w:hAnsi="Verdana" w:cstheme="minorHAnsi"/>
        </w:rPr>
        <w:t>.</w:t>
      </w:r>
    </w:p>
    <w:p w14:paraId="414E01CF" w14:textId="77777777" w:rsidR="00F953EC" w:rsidRPr="00A676BC" w:rsidRDefault="00F953EC" w:rsidP="00323992">
      <w:pPr>
        <w:spacing w:line="255" w:lineRule="atLeast"/>
        <w:ind w:left="284" w:right="113"/>
        <w:jc w:val="both"/>
        <w:rPr>
          <w:rFonts w:ascii="Verdana" w:hAnsi="Verdana" w:cs="Arial"/>
          <w:bCs/>
          <w:iCs/>
          <w:lang w:val="bg-BG"/>
        </w:rPr>
      </w:pPr>
    </w:p>
    <w:sectPr w:rsidR="00F953EC" w:rsidRPr="00A676BC" w:rsidSect="008D58B5">
      <w:footerReference w:type="default" r:id="rId7"/>
      <w:footerReference w:type="first" r:id="rId8"/>
      <w:pgSz w:w="11907" w:h="16840" w:code="9"/>
      <w:pgMar w:top="1985" w:right="1021" w:bottom="340" w:left="1134" w:header="860" w:footer="52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03BB" w14:textId="77777777" w:rsidR="00024016" w:rsidRDefault="00024016">
      <w:r>
        <w:separator/>
      </w:r>
    </w:p>
  </w:endnote>
  <w:endnote w:type="continuationSeparator" w:id="0">
    <w:p w14:paraId="6179411B" w14:textId="77777777" w:rsidR="00024016" w:rsidRDefault="0002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8739" w14:textId="77777777" w:rsidR="00FA5492" w:rsidRDefault="00FA5492" w:rsidP="005670E2">
    <w:pPr>
      <w:pStyle w:val="Footer"/>
      <w:jc w:val="center"/>
      <w:rPr>
        <w:rFonts w:ascii="Verdana" w:hAnsi="Verdana"/>
      </w:rPr>
    </w:pPr>
  </w:p>
  <w:p w14:paraId="3B5E4AAF" w14:textId="60C80059" w:rsidR="00FA5492" w:rsidRPr="005670E2" w:rsidRDefault="00FA5492" w:rsidP="005670E2">
    <w:pPr>
      <w:pStyle w:val="Footer"/>
      <w:jc w:val="center"/>
      <w:rPr>
        <w:rFonts w:ascii="Verdana" w:hAnsi="Verdana"/>
      </w:rPr>
    </w:pPr>
    <w:r w:rsidRPr="005670E2">
      <w:rPr>
        <w:rFonts w:ascii="Verdana" w:hAnsi="Verdana"/>
      </w:rPr>
      <w:t>EA BAS</w:t>
    </w:r>
    <w:r w:rsidRPr="005670E2">
      <w:rPr>
        <w:rFonts w:ascii="Verdana" w:hAnsi="Verdana"/>
        <w:lang w:val="bg-BG"/>
      </w:rPr>
      <w:t xml:space="preserve"> </w:t>
    </w:r>
    <w:r w:rsidRPr="005670E2">
      <w:rPr>
        <w:rFonts w:ascii="Verdana" w:hAnsi="Verdana"/>
      </w:rPr>
      <w:t xml:space="preserve">                                      </w:t>
    </w:r>
    <w:r w:rsidR="004F7EB3">
      <w:rPr>
        <w:rFonts w:ascii="Verdana" w:hAnsi="Verdana"/>
      </w:rPr>
      <w:t>3</w:t>
    </w:r>
    <w:r w:rsidR="00E929DD">
      <w:rPr>
        <w:rFonts w:ascii="Verdana" w:hAnsi="Verdana"/>
      </w:rPr>
      <w:t>1</w:t>
    </w:r>
    <w:r>
      <w:rPr>
        <w:rFonts w:ascii="Verdana" w:hAnsi="Verdana"/>
        <w:lang w:val="bg-BG"/>
      </w:rPr>
      <w:t>.</w:t>
    </w:r>
    <w:r w:rsidR="00E929DD">
      <w:rPr>
        <w:rFonts w:ascii="Verdana" w:hAnsi="Verdana"/>
      </w:rPr>
      <w:t>1</w:t>
    </w:r>
    <w:r w:rsidR="004F7EB3">
      <w:rPr>
        <w:rFonts w:ascii="Verdana" w:hAnsi="Verdana"/>
      </w:rPr>
      <w:t>0</w:t>
    </w:r>
    <w:r>
      <w:rPr>
        <w:rFonts w:ascii="Verdana" w:hAnsi="Verdana"/>
        <w:lang w:val="bg-BG"/>
      </w:rPr>
      <w:t>.202</w:t>
    </w:r>
    <w:r w:rsidR="007D3B38">
      <w:rPr>
        <w:rFonts w:ascii="Verdana" w:hAnsi="Verdana"/>
        <w:lang w:val="bg-BG"/>
      </w:rPr>
      <w:t>5</w:t>
    </w:r>
    <w:r w:rsidRPr="005670E2">
      <w:rPr>
        <w:rFonts w:ascii="Verdana" w:hAnsi="Verdana"/>
      </w:rPr>
      <w:t xml:space="preserve">                             Page </w:t>
    </w:r>
    <w:r w:rsidRPr="005670E2">
      <w:rPr>
        <w:rFonts w:ascii="Verdana" w:hAnsi="Verdana"/>
        <w:bCs/>
      </w:rPr>
      <w:fldChar w:fldCharType="begin"/>
    </w:r>
    <w:r w:rsidRPr="005670E2">
      <w:rPr>
        <w:rFonts w:ascii="Verdana" w:hAnsi="Verdana"/>
        <w:bCs/>
      </w:rPr>
      <w:instrText xml:space="preserve"> PAGE </w:instrText>
    </w:r>
    <w:r w:rsidRPr="005670E2">
      <w:rPr>
        <w:rFonts w:ascii="Verdana" w:hAnsi="Verdana"/>
        <w:bCs/>
      </w:rPr>
      <w:fldChar w:fldCharType="separate"/>
    </w:r>
    <w:r w:rsidR="00DB782C">
      <w:rPr>
        <w:rFonts w:ascii="Verdana" w:hAnsi="Verdana"/>
        <w:bCs/>
        <w:noProof/>
      </w:rPr>
      <w:t>25</w:t>
    </w:r>
    <w:r w:rsidRPr="005670E2">
      <w:rPr>
        <w:rFonts w:ascii="Verdana" w:hAnsi="Verdana"/>
        <w:bCs/>
      </w:rPr>
      <w:fldChar w:fldCharType="end"/>
    </w:r>
    <w:r w:rsidRPr="005670E2">
      <w:rPr>
        <w:rFonts w:ascii="Verdana" w:hAnsi="Verdana"/>
      </w:rPr>
      <w:t xml:space="preserve"> of </w:t>
    </w:r>
    <w:r w:rsidRPr="005670E2">
      <w:rPr>
        <w:rFonts w:ascii="Verdana" w:hAnsi="Verdana"/>
        <w:bCs/>
      </w:rPr>
      <w:fldChar w:fldCharType="begin"/>
    </w:r>
    <w:r w:rsidRPr="005670E2">
      <w:rPr>
        <w:rFonts w:ascii="Verdana" w:hAnsi="Verdana"/>
        <w:bCs/>
      </w:rPr>
      <w:instrText xml:space="preserve"> NUMPAGES  </w:instrText>
    </w:r>
    <w:r w:rsidRPr="005670E2">
      <w:rPr>
        <w:rFonts w:ascii="Verdana" w:hAnsi="Verdana"/>
        <w:bCs/>
      </w:rPr>
      <w:fldChar w:fldCharType="separate"/>
    </w:r>
    <w:r w:rsidR="00DB782C">
      <w:rPr>
        <w:rFonts w:ascii="Verdana" w:hAnsi="Verdana"/>
        <w:bCs/>
        <w:noProof/>
      </w:rPr>
      <w:t>25</w:t>
    </w:r>
    <w:r w:rsidRPr="005670E2">
      <w:rPr>
        <w:rFonts w:ascii="Verdana" w:hAnsi="Verdana"/>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4AED" w14:textId="77777777" w:rsidR="007D3B38" w:rsidRPr="00461920" w:rsidRDefault="007D3B38" w:rsidP="007D3B38">
    <w:pPr>
      <w:pStyle w:val="Footer"/>
      <w:jc w:val="center"/>
      <w:rPr>
        <w:rFonts w:ascii="Verdana" w:hAnsi="Verdana"/>
        <w:noProof/>
        <w:sz w:val="16"/>
        <w:szCs w:val="16"/>
        <w:lang w:val="x-none"/>
      </w:rPr>
    </w:pPr>
    <w:r w:rsidRPr="00461920">
      <w:rPr>
        <w:rFonts w:ascii="Verdana" w:hAnsi="Verdana"/>
        <w:noProof/>
        <w:sz w:val="16"/>
        <w:szCs w:val="16"/>
        <w:lang w:val="bg-BG"/>
      </w:rPr>
      <w:t>52 А</w:t>
    </w:r>
    <w:r w:rsidRPr="00461920">
      <w:rPr>
        <w:rFonts w:ascii="Verdana" w:hAnsi="Verdana"/>
        <w:noProof/>
        <w:sz w:val="16"/>
        <w:szCs w:val="16"/>
        <w:lang w:val="x-none"/>
      </w:rPr>
      <w:t xml:space="preserve"> “Dr. G. M. Dimitrov” Blvd. 1797 Sofia Bulgaria</w:t>
    </w:r>
  </w:p>
  <w:p w14:paraId="24A820B2" w14:textId="77777777" w:rsidR="007D3B38" w:rsidRPr="00461920" w:rsidRDefault="007D3B38" w:rsidP="007D3B38">
    <w:pPr>
      <w:pStyle w:val="Footer"/>
      <w:jc w:val="center"/>
      <w:rPr>
        <w:rFonts w:ascii="Verdana" w:hAnsi="Verdana"/>
        <w:noProof/>
        <w:sz w:val="16"/>
        <w:szCs w:val="16"/>
        <w:lang w:val="x-none"/>
      </w:rPr>
    </w:pPr>
    <w:r w:rsidRPr="00461920">
      <w:rPr>
        <w:rFonts w:ascii="Verdana" w:hAnsi="Verdana"/>
        <w:noProof/>
        <w:sz w:val="16"/>
        <w:szCs w:val="16"/>
        <w:lang w:val="x-none"/>
      </w:rPr>
      <w:t>phone</w:t>
    </w:r>
    <w:r w:rsidRPr="00461920">
      <w:rPr>
        <w:rFonts w:ascii="Verdana" w:hAnsi="Verdana"/>
        <w:noProof/>
        <w:sz w:val="16"/>
        <w:szCs w:val="16"/>
        <w:lang w:val="bg-BG"/>
      </w:rPr>
      <w:t>: +359</w:t>
    </w:r>
    <w:r w:rsidRPr="00461920">
      <w:rPr>
        <w:rFonts w:ascii="Verdana" w:hAnsi="Verdana"/>
        <w:noProof/>
        <w:sz w:val="16"/>
        <w:szCs w:val="16"/>
        <w:lang w:val="x-none"/>
      </w:rPr>
      <w:t xml:space="preserve"> 2 9766 401</w:t>
    </w:r>
    <w:r w:rsidRPr="00461920">
      <w:rPr>
        <w:rFonts w:ascii="Verdana" w:hAnsi="Verdana"/>
        <w:noProof/>
        <w:sz w:val="16"/>
        <w:szCs w:val="16"/>
        <w:lang w:val="bg-BG"/>
      </w:rPr>
      <w:t xml:space="preserve">; </w:t>
    </w:r>
    <w:r w:rsidRPr="00461920">
      <w:rPr>
        <w:rFonts w:ascii="Verdana" w:hAnsi="Verdana"/>
        <w:noProof/>
        <w:sz w:val="16"/>
        <w:szCs w:val="16"/>
        <w:lang w:val="x-none"/>
      </w:rPr>
      <w:t>fax</w:t>
    </w:r>
    <w:r w:rsidRPr="00461920">
      <w:rPr>
        <w:rFonts w:ascii="Verdana" w:hAnsi="Verdana"/>
        <w:noProof/>
        <w:sz w:val="16"/>
        <w:szCs w:val="16"/>
        <w:lang w:val="it-IT"/>
      </w:rPr>
      <w:t>: +359 2 873 53 02</w:t>
    </w:r>
  </w:p>
  <w:p w14:paraId="60FB01C9" w14:textId="77777777" w:rsidR="007D3B38" w:rsidRPr="00461920" w:rsidRDefault="007D3B38" w:rsidP="007D3B38">
    <w:pPr>
      <w:pStyle w:val="Footer"/>
      <w:jc w:val="center"/>
      <w:rPr>
        <w:rFonts w:ascii="Verdana" w:hAnsi="Verdana"/>
        <w:noProof/>
        <w:sz w:val="16"/>
        <w:szCs w:val="16"/>
        <w:lang w:val="x-none"/>
      </w:rPr>
    </w:pPr>
    <w:r w:rsidRPr="00461920">
      <w:rPr>
        <w:rFonts w:ascii="Verdana" w:hAnsi="Verdana"/>
        <w:noProof/>
        <w:sz w:val="16"/>
        <w:szCs w:val="16"/>
        <w:lang w:val="it-IT"/>
      </w:rPr>
      <w:t xml:space="preserve">e-mail: </w:t>
    </w:r>
    <w:r w:rsidRPr="00461920">
      <w:rPr>
        <w:rFonts w:ascii="Verdana" w:hAnsi="Verdana"/>
        <w:noProof/>
        <w:sz w:val="16"/>
        <w:szCs w:val="16"/>
        <w:lang w:val="de-DE"/>
      </w:rPr>
      <w:t>office</w:t>
    </w:r>
    <w:r w:rsidRPr="00461920">
      <w:rPr>
        <w:rFonts w:ascii="Verdana" w:hAnsi="Verdana"/>
        <w:noProof/>
        <w:sz w:val="16"/>
        <w:szCs w:val="16"/>
        <w:lang w:val="it-IT"/>
      </w:rPr>
      <w:t>@nab-bas.bg</w:t>
    </w:r>
    <w:r w:rsidRPr="00461920">
      <w:rPr>
        <w:rFonts w:ascii="Verdana" w:hAnsi="Verdana"/>
        <w:noProof/>
        <w:sz w:val="16"/>
        <w:szCs w:val="16"/>
        <w:lang w:val="bg-BG"/>
      </w:rPr>
      <w:t xml:space="preserve">; </w:t>
    </w:r>
    <w:r w:rsidRPr="00461920">
      <w:rPr>
        <w:rFonts w:ascii="Verdana" w:hAnsi="Verdana"/>
        <w:noProof/>
        <w:sz w:val="16"/>
        <w:szCs w:val="16"/>
        <w:lang w:val="x-none"/>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C0061" w14:textId="77777777" w:rsidR="00024016" w:rsidRDefault="00024016">
      <w:r>
        <w:separator/>
      </w:r>
    </w:p>
  </w:footnote>
  <w:footnote w:type="continuationSeparator" w:id="0">
    <w:p w14:paraId="54FF7829" w14:textId="77777777" w:rsidR="00024016" w:rsidRDefault="00024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F0604"/>
    <w:multiLevelType w:val="hybridMultilevel"/>
    <w:tmpl w:val="8C2E56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A266BAA"/>
    <w:multiLevelType w:val="hybridMultilevel"/>
    <w:tmpl w:val="E70A04E6"/>
    <w:lvl w:ilvl="0" w:tplc="2938CBE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461C72"/>
    <w:multiLevelType w:val="hybridMultilevel"/>
    <w:tmpl w:val="B9907BCA"/>
    <w:lvl w:ilvl="0" w:tplc="F6C0C450">
      <w:start w:val="5"/>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4C7C7A2F"/>
    <w:multiLevelType w:val="hybridMultilevel"/>
    <w:tmpl w:val="1BE46F98"/>
    <w:lvl w:ilvl="0" w:tplc="FB3CBC4A">
      <w:start w:val="1"/>
      <w:numFmt w:val="decimal"/>
      <w:lvlText w:val="%1."/>
      <w:lvlJc w:val="left"/>
      <w:pPr>
        <w:ind w:left="720" w:hanging="360"/>
      </w:pPr>
      <w:rPr>
        <w:rFonts w:ascii="Arial" w:hAnsi="Arial" w:cs="Aria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59AB3737"/>
    <w:multiLevelType w:val="hybridMultilevel"/>
    <w:tmpl w:val="40F09090"/>
    <w:lvl w:ilvl="0" w:tplc="5BA4F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A90AD1"/>
    <w:multiLevelType w:val="multilevel"/>
    <w:tmpl w:val="E260FB3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3B401C6"/>
    <w:multiLevelType w:val="hybridMultilevel"/>
    <w:tmpl w:val="7A5C8A10"/>
    <w:lvl w:ilvl="0" w:tplc="BEDEE5A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A08"/>
    <w:rsid w:val="0000364A"/>
    <w:rsid w:val="00024016"/>
    <w:rsid w:val="0003292F"/>
    <w:rsid w:val="000378C5"/>
    <w:rsid w:val="00050716"/>
    <w:rsid w:val="00055227"/>
    <w:rsid w:val="00057022"/>
    <w:rsid w:val="00062A00"/>
    <w:rsid w:val="00063FFC"/>
    <w:rsid w:val="000817D4"/>
    <w:rsid w:val="000B4E9D"/>
    <w:rsid w:val="000C01ED"/>
    <w:rsid w:val="000C07F5"/>
    <w:rsid w:val="000D5BD4"/>
    <w:rsid w:val="000E4015"/>
    <w:rsid w:val="000E5E34"/>
    <w:rsid w:val="000F755E"/>
    <w:rsid w:val="00112E76"/>
    <w:rsid w:val="00114C1D"/>
    <w:rsid w:val="00116729"/>
    <w:rsid w:val="00121B0B"/>
    <w:rsid w:val="0012513B"/>
    <w:rsid w:val="00146802"/>
    <w:rsid w:val="00152836"/>
    <w:rsid w:val="00155385"/>
    <w:rsid w:val="00157799"/>
    <w:rsid w:val="00157D1E"/>
    <w:rsid w:val="00160FFA"/>
    <w:rsid w:val="001B1696"/>
    <w:rsid w:val="001B4BA5"/>
    <w:rsid w:val="001C09C8"/>
    <w:rsid w:val="001C1FCA"/>
    <w:rsid w:val="001C662B"/>
    <w:rsid w:val="001D538A"/>
    <w:rsid w:val="001E07AF"/>
    <w:rsid w:val="001E0951"/>
    <w:rsid w:val="001F2FC6"/>
    <w:rsid w:val="001F446E"/>
    <w:rsid w:val="00206342"/>
    <w:rsid w:val="0020653E"/>
    <w:rsid w:val="00207C5C"/>
    <w:rsid w:val="00214042"/>
    <w:rsid w:val="002313D0"/>
    <w:rsid w:val="00237B39"/>
    <w:rsid w:val="002402DF"/>
    <w:rsid w:val="002403A0"/>
    <w:rsid w:val="0025420C"/>
    <w:rsid w:val="002604E1"/>
    <w:rsid w:val="00263628"/>
    <w:rsid w:val="00266D04"/>
    <w:rsid w:val="002679B7"/>
    <w:rsid w:val="00283377"/>
    <w:rsid w:val="002877C2"/>
    <w:rsid w:val="00287B45"/>
    <w:rsid w:val="00291890"/>
    <w:rsid w:val="00295D54"/>
    <w:rsid w:val="00297DCB"/>
    <w:rsid w:val="002A367E"/>
    <w:rsid w:val="002A3EA5"/>
    <w:rsid w:val="002A4CAF"/>
    <w:rsid w:val="002A60C6"/>
    <w:rsid w:val="002B0F95"/>
    <w:rsid w:val="002B4914"/>
    <w:rsid w:val="002D0E42"/>
    <w:rsid w:val="002D52B5"/>
    <w:rsid w:val="002D5456"/>
    <w:rsid w:val="002E25EF"/>
    <w:rsid w:val="002E27B3"/>
    <w:rsid w:val="002E4452"/>
    <w:rsid w:val="002F3B7A"/>
    <w:rsid w:val="003026C0"/>
    <w:rsid w:val="00310997"/>
    <w:rsid w:val="00323992"/>
    <w:rsid w:val="00323C8C"/>
    <w:rsid w:val="003373FF"/>
    <w:rsid w:val="00343CCF"/>
    <w:rsid w:val="00346F45"/>
    <w:rsid w:val="00354B98"/>
    <w:rsid w:val="00355C8A"/>
    <w:rsid w:val="00367748"/>
    <w:rsid w:val="00390102"/>
    <w:rsid w:val="00394461"/>
    <w:rsid w:val="003A0329"/>
    <w:rsid w:val="003A4E24"/>
    <w:rsid w:val="003B3FD2"/>
    <w:rsid w:val="003C0E6E"/>
    <w:rsid w:val="003C144D"/>
    <w:rsid w:val="003D217C"/>
    <w:rsid w:val="003D6568"/>
    <w:rsid w:val="003D6B9F"/>
    <w:rsid w:val="003E41E8"/>
    <w:rsid w:val="003E474A"/>
    <w:rsid w:val="003E6573"/>
    <w:rsid w:val="003E7AFB"/>
    <w:rsid w:val="003F0163"/>
    <w:rsid w:val="003F1668"/>
    <w:rsid w:val="003F2F06"/>
    <w:rsid w:val="0040528E"/>
    <w:rsid w:val="00413EF9"/>
    <w:rsid w:val="00421A34"/>
    <w:rsid w:val="00422C32"/>
    <w:rsid w:val="00430DF9"/>
    <w:rsid w:val="00435EC7"/>
    <w:rsid w:val="004364AC"/>
    <w:rsid w:val="00455304"/>
    <w:rsid w:val="00473253"/>
    <w:rsid w:val="00475472"/>
    <w:rsid w:val="00476603"/>
    <w:rsid w:val="00477B55"/>
    <w:rsid w:val="004825D6"/>
    <w:rsid w:val="004826D8"/>
    <w:rsid w:val="004870A7"/>
    <w:rsid w:val="00490EA9"/>
    <w:rsid w:val="004A27CC"/>
    <w:rsid w:val="004B1392"/>
    <w:rsid w:val="004B22AB"/>
    <w:rsid w:val="004B2CAF"/>
    <w:rsid w:val="004B5900"/>
    <w:rsid w:val="004C2DC6"/>
    <w:rsid w:val="004C3144"/>
    <w:rsid w:val="004C5C51"/>
    <w:rsid w:val="004D1A3A"/>
    <w:rsid w:val="004E70F2"/>
    <w:rsid w:val="004F1AB3"/>
    <w:rsid w:val="004F765C"/>
    <w:rsid w:val="004F7EB3"/>
    <w:rsid w:val="00501133"/>
    <w:rsid w:val="00507940"/>
    <w:rsid w:val="00510D96"/>
    <w:rsid w:val="00512EA3"/>
    <w:rsid w:val="00514D44"/>
    <w:rsid w:val="00523630"/>
    <w:rsid w:val="00526CB1"/>
    <w:rsid w:val="00535ACA"/>
    <w:rsid w:val="005446C0"/>
    <w:rsid w:val="005451EF"/>
    <w:rsid w:val="005554D1"/>
    <w:rsid w:val="005622C2"/>
    <w:rsid w:val="00564939"/>
    <w:rsid w:val="00565370"/>
    <w:rsid w:val="005670E2"/>
    <w:rsid w:val="0057056E"/>
    <w:rsid w:val="00574EC0"/>
    <w:rsid w:val="00575636"/>
    <w:rsid w:val="00577BCC"/>
    <w:rsid w:val="00585D3F"/>
    <w:rsid w:val="005903A8"/>
    <w:rsid w:val="0059418E"/>
    <w:rsid w:val="005A0F9A"/>
    <w:rsid w:val="005A12D8"/>
    <w:rsid w:val="005A169A"/>
    <w:rsid w:val="005A3B17"/>
    <w:rsid w:val="005A3F5D"/>
    <w:rsid w:val="005B4866"/>
    <w:rsid w:val="005B69F7"/>
    <w:rsid w:val="005C753F"/>
    <w:rsid w:val="005D1AD8"/>
    <w:rsid w:val="005D7788"/>
    <w:rsid w:val="005E6CDB"/>
    <w:rsid w:val="005F0F19"/>
    <w:rsid w:val="00602A0B"/>
    <w:rsid w:val="00617566"/>
    <w:rsid w:val="00617F6E"/>
    <w:rsid w:val="00635BD1"/>
    <w:rsid w:val="00654A85"/>
    <w:rsid w:val="00660F1B"/>
    <w:rsid w:val="00661D0A"/>
    <w:rsid w:val="00663C91"/>
    <w:rsid w:val="00665A95"/>
    <w:rsid w:val="006709A5"/>
    <w:rsid w:val="00677025"/>
    <w:rsid w:val="00680B3F"/>
    <w:rsid w:val="00681248"/>
    <w:rsid w:val="006845E9"/>
    <w:rsid w:val="006909E0"/>
    <w:rsid w:val="0069353C"/>
    <w:rsid w:val="00695ACA"/>
    <w:rsid w:val="006A5306"/>
    <w:rsid w:val="006C07A8"/>
    <w:rsid w:val="006C3365"/>
    <w:rsid w:val="006C5947"/>
    <w:rsid w:val="006E07B3"/>
    <w:rsid w:val="006E1608"/>
    <w:rsid w:val="006F1B93"/>
    <w:rsid w:val="0071262E"/>
    <w:rsid w:val="00715441"/>
    <w:rsid w:val="007165C9"/>
    <w:rsid w:val="00716DA4"/>
    <w:rsid w:val="00735898"/>
    <w:rsid w:val="00736A65"/>
    <w:rsid w:val="0074640C"/>
    <w:rsid w:val="007637FA"/>
    <w:rsid w:val="00770C9D"/>
    <w:rsid w:val="0077238D"/>
    <w:rsid w:val="00776298"/>
    <w:rsid w:val="00780478"/>
    <w:rsid w:val="00786685"/>
    <w:rsid w:val="00790C7E"/>
    <w:rsid w:val="00792505"/>
    <w:rsid w:val="00794146"/>
    <w:rsid w:val="00797046"/>
    <w:rsid w:val="007A288B"/>
    <w:rsid w:val="007A38C9"/>
    <w:rsid w:val="007A50D3"/>
    <w:rsid w:val="007A5E14"/>
    <w:rsid w:val="007A6290"/>
    <w:rsid w:val="007B0646"/>
    <w:rsid w:val="007B15E0"/>
    <w:rsid w:val="007C59DA"/>
    <w:rsid w:val="007D3B38"/>
    <w:rsid w:val="007D51BC"/>
    <w:rsid w:val="007E6D81"/>
    <w:rsid w:val="007E7A2B"/>
    <w:rsid w:val="007F0651"/>
    <w:rsid w:val="007F2883"/>
    <w:rsid w:val="007F3C0E"/>
    <w:rsid w:val="00806A81"/>
    <w:rsid w:val="00807334"/>
    <w:rsid w:val="0081484F"/>
    <w:rsid w:val="00815355"/>
    <w:rsid w:val="00816689"/>
    <w:rsid w:val="00817368"/>
    <w:rsid w:val="008201DA"/>
    <w:rsid w:val="00831701"/>
    <w:rsid w:val="00842D4E"/>
    <w:rsid w:val="00846322"/>
    <w:rsid w:val="0085348A"/>
    <w:rsid w:val="0085750C"/>
    <w:rsid w:val="00875522"/>
    <w:rsid w:val="00876317"/>
    <w:rsid w:val="00877BFC"/>
    <w:rsid w:val="0088036C"/>
    <w:rsid w:val="00881854"/>
    <w:rsid w:val="00881B42"/>
    <w:rsid w:val="008904A4"/>
    <w:rsid w:val="00892842"/>
    <w:rsid w:val="008A1044"/>
    <w:rsid w:val="008A38C6"/>
    <w:rsid w:val="008A6AFC"/>
    <w:rsid w:val="008C383C"/>
    <w:rsid w:val="008C7C9D"/>
    <w:rsid w:val="008D19C6"/>
    <w:rsid w:val="008D25EF"/>
    <w:rsid w:val="008D4F1B"/>
    <w:rsid w:val="008D58B5"/>
    <w:rsid w:val="008E4E6E"/>
    <w:rsid w:val="0090772D"/>
    <w:rsid w:val="0093161B"/>
    <w:rsid w:val="00932B82"/>
    <w:rsid w:val="0093739D"/>
    <w:rsid w:val="00942035"/>
    <w:rsid w:val="00946D85"/>
    <w:rsid w:val="00964FD9"/>
    <w:rsid w:val="009658CF"/>
    <w:rsid w:val="00970C3A"/>
    <w:rsid w:val="00971879"/>
    <w:rsid w:val="00974546"/>
    <w:rsid w:val="00986C0F"/>
    <w:rsid w:val="00990F16"/>
    <w:rsid w:val="00996B45"/>
    <w:rsid w:val="0099704A"/>
    <w:rsid w:val="009A49E5"/>
    <w:rsid w:val="009B1EA3"/>
    <w:rsid w:val="009B61D7"/>
    <w:rsid w:val="009C49D9"/>
    <w:rsid w:val="009D0BFE"/>
    <w:rsid w:val="009E1615"/>
    <w:rsid w:val="00A02750"/>
    <w:rsid w:val="00A06FD1"/>
    <w:rsid w:val="00A127FB"/>
    <w:rsid w:val="00A13DB8"/>
    <w:rsid w:val="00A201F7"/>
    <w:rsid w:val="00A24013"/>
    <w:rsid w:val="00A30BDD"/>
    <w:rsid w:val="00A3644F"/>
    <w:rsid w:val="00A40A51"/>
    <w:rsid w:val="00A479A4"/>
    <w:rsid w:val="00A50B60"/>
    <w:rsid w:val="00A610B9"/>
    <w:rsid w:val="00A624E9"/>
    <w:rsid w:val="00A62836"/>
    <w:rsid w:val="00A64607"/>
    <w:rsid w:val="00A66C85"/>
    <w:rsid w:val="00A676BC"/>
    <w:rsid w:val="00A67B17"/>
    <w:rsid w:val="00A729BF"/>
    <w:rsid w:val="00A82F02"/>
    <w:rsid w:val="00A83C5F"/>
    <w:rsid w:val="00A85FA0"/>
    <w:rsid w:val="00AA0C44"/>
    <w:rsid w:val="00AA1858"/>
    <w:rsid w:val="00AC6964"/>
    <w:rsid w:val="00AD13E8"/>
    <w:rsid w:val="00AD527B"/>
    <w:rsid w:val="00AD64EC"/>
    <w:rsid w:val="00AE40FD"/>
    <w:rsid w:val="00B01442"/>
    <w:rsid w:val="00B03BA5"/>
    <w:rsid w:val="00B10DEF"/>
    <w:rsid w:val="00B16734"/>
    <w:rsid w:val="00B17A53"/>
    <w:rsid w:val="00B17F44"/>
    <w:rsid w:val="00B20C66"/>
    <w:rsid w:val="00B23572"/>
    <w:rsid w:val="00B24F0A"/>
    <w:rsid w:val="00B326CD"/>
    <w:rsid w:val="00B34B97"/>
    <w:rsid w:val="00B3550D"/>
    <w:rsid w:val="00B35CFD"/>
    <w:rsid w:val="00B41345"/>
    <w:rsid w:val="00B4306E"/>
    <w:rsid w:val="00B5252C"/>
    <w:rsid w:val="00B559FF"/>
    <w:rsid w:val="00B618A5"/>
    <w:rsid w:val="00B734B0"/>
    <w:rsid w:val="00B76C17"/>
    <w:rsid w:val="00B77888"/>
    <w:rsid w:val="00B80BD6"/>
    <w:rsid w:val="00BA124A"/>
    <w:rsid w:val="00BA7157"/>
    <w:rsid w:val="00BB54E2"/>
    <w:rsid w:val="00BB73A7"/>
    <w:rsid w:val="00BC2F4A"/>
    <w:rsid w:val="00BD239B"/>
    <w:rsid w:val="00BD7B24"/>
    <w:rsid w:val="00BE17F0"/>
    <w:rsid w:val="00C01FBC"/>
    <w:rsid w:val="00C030E8"/>
    <w:rsid w:val="00C07C2C"/>
    <w:rsid w:val="00C10811"/>
    <w:rsid w:val="00C118AB"/>
    <w:rsid w:val="00C16D52"/>
    <w:rsid w:val="00C37ABD"/>
    <w:rsid w:val="00C4108F"/>
    <w:rsid w:val="00C473A4"/>
    <w:rsid w:val="00C47D0E"/>
    <w:rsid w:val="00C61982"/>
    <w:rsid w:val="00C63766"/>
    <w:rsid w:val="00C65CDC"/>
    <w:rsid w:val="00C66070"/>
    <w:rsid w:val="00C66696"/>
    <w:rsid w:val="00C72C92"/>
    <w:rsid w:val="00C74624"/>
    <w:rsid w:val="00C76E09"/>
    <w:rsid w:val="00C83845"/>
    <w:rsid w:val="00C96607"/>
    <w:rsid w:val="00C973D6"/>
    <w:rsid w:val="00CA55ED"/>
    <w:rsid w:val="00CB0AA7"/>
    <w:rsid w:val="00CB179A"/>
    <w:rsid w:val="00CB248B"/>
    <w:rsid w:val="00CB41D8"/>
    <w:rsid w:val="00CB5ED4"/>
    <w:rsid w:val="00CB6FB4"/>
    <w:rsid w:val="00CB72D0"/>
    <w:rsid w:val="00CC5985"/>
    <w:rsid w:val="00D060C5"/>
    <w:rsid w:val="00D1039C"/>
    <w:rsid w:val="00D11FCC"/>
    <w:rsid w:val="00D12A3B"/>
    <w:rsid w:val="00D22537"/>
    <w:rsid w:val="00D259F5"/>
    <w:rsid w:val="00D26F06"/>
    <w:rsid w:val="00D33109"/>
    <w:rsid w:val="00D36B70"/>
    <w:rsid w:val="00D41C87"/>
    <w:rsid w:val="00D450FA"/>
    <w:rsid w:val="00D474A7"/>
    <w:rsid w:val="00D61AE4"/>
    <w:rsid w:val="00D7472F"/>
    <w:rsid w:val="00D771A1"/>
    <w:rsid w:val="00D81E66"/>
    <w:rsid w:val="00D867DE"/>
    <w:rsid w:val="00DB2C8A"/>
    <w:rsid w:val="00DB66A2"/>
    <w:rsid w:val="00DB782C"/>
    <w:rsid w:val="00DE3EB6"/>
    <w:rsid w:val="00DE6A7F"/>
    <w:rsid w:val="00E038C1"/>
    <w:rsid w:val="00E0662F"/>
    <w:rsid w:val="00E07CED"/>
    <w:rsid w:val="00E1253F"/>
    <w:rsid w:val="00E160F6"/>
    <w:rsid w:val="00E22774"/>
    <w:rsid w:val="00E27A95"/>
    <w:rsid w:val="00E3512D"/>
    <w:rsid w:val="00E359A9"/>
    <w:rsid w:val="00E37B30"/>
    <w:rsid w:val="00E41198"/>
    <w:rsid w:val="00E55278"/>
    <w:rsid w:val="00E576F6"/>
    <w:rsid w:val="00E77F72"/>
    <w:rsid w:val="00E84207"/>
    <w:rsid w:val="00E929DD"/>
    <w:rsid w:val="00E934FB"/>
    <w:rsid w:val="00E96C15"/>
    <w:rsid w:val="00E975CB"/>
    <w:rsid w:val="00E975D4"/>
    <w:rsid w:val="00EA3193"/>
    <w:rsid w:val="00EB2EE2"/>
    <w:rsid w:val="00EB4E96"/>
    <w:rsid w:val="00EB6A1B"/>
    <w:rsid w:val="00EB70AD"/>
    <w:rsid w:val="00EB7445"/>
    <w:rsid w:val="00EC0D8F"/>
    <w:rsid w:val="00ED4B9D"/>
    <w:rsid w:val="00ED6721"/>
    <w:rsid w:val="00EE5CE7"/>
    <w:rsid w:val="00EF082A"/>
    <w:rsid w:val="00EF6677"/>
    <w:rsid w:val="00F03C0B"/>
    <w:rsid w:val="00F04702"/>
    <w:rsid w:val="00F07AFC"/>
    <w:rsid w:val="00F11521"/>
    <w:rsid w:val="00F14BAB"/>
    <w:rsid w:val="00F15FC6"/>
    <w:rsid w:val="00F250C9"/>
    <w:rsid w:val="00F25863"/>
    <w:rsid w:val="00F25A7F"/>
    <w:rsid w:val="00F26708"/>
    <w:rsid w:val="00F31511"/>
    <w:rsid w:val="00F43012"/>
    <w:rsid w:val="00F45883"/>
    <w:rsid w:val="00F53BF2"/>
    <w:rsid w:val="00F54FEB"/>
    <w:rsid w:val="00F55E4D"/>
    <w:rsid w:val="00F65E70"/>
    <w:rsid w:val="00F6608F"/>
    <w:rsid w:val="00F72CF1"/>
    <w:rsid w:val="00F83B2A"/>
    <w:rsid w:val="00F84047"/>
    <w:rsid w:val="00F953EC"/>
    <w:rsid w:val="00FA3679"/>
    <w:rsid w:val="00FA5492"/>
    <w:rsid w:val="00FB0C5A"/>
    <w:rsid w:val="00FB74EC"/>
    <w:rsid w:val="00FC07C0"/>
    <w:rsid w:val="00FC739C"/>
    <w:rsid w:val="00FD26DE"/>
    <w:rsid w:val="00FE3C89"/>
    <w:rsid w:val="00FE5582"/>
    <w:rsid w:val="00FE5F78"/>
    <w:rsid w:val="00FE6181"/>
    <w:rsid w:val="00FF37B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305D0"/>
  <w15:chartTrackingRefBased/>
  <w15:docId w15:val="{D50D2DFC-B5E9-4808-8D55-6D888396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uiPriority w:val="9"/>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qFormat/>
    <w:pPr>
      <w:keepNext/>
      <w:outlineLvl w:val="3"/>
    </w:pPr>
    <w:rPr>
      <w:b/>
      <w:bCs/>
      <w:lang w:val="bg-BG"/>
    </w:rPr>
  </w:style>
  <w:style w:type="paragraph" w:styleId="Heading5">
    <w:name w:val="heading 5"/>
    <w:basedOn w:val="Normal"/>
    <w:next w:val="Normal"/>
    <w:link w:val="Heading5Char"/>
    <w:uiPriority w:val="9"/>
    <w:semiHidden/>
    <w:unhideWhenUsed/>
    <w:qFormat/>
    <w:rsid w:val="00EB2EE2"/>
    <w:pPr>
      <w:overflowPunct/>
      <w:autoSpaceDE/>
      <w:autoSpaceDN/>
      <w:adjustRightInd/>
      <w:spacing w:before="240" w:after="60"/>
      <w:textAlignment w:val="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8,Header Char Char Char Char Char Char,Header Char Char Char Char,Char1 Char Char Char"/>
    <w:basedOn w:val="Normal"/>
    <w:link w:val="HeaderChar"/>
    <w:pPr>
      <w:tabs>
        <w:tab w:val="center" w:pos="4320"/>
        <w:tab w:val="right" w:pos="8640"/>
      </w:tabs>
    </w:pPr>
  </w:style>
  <w:style w:type="paragraph" w:styleId="Footer">
    <w:name w:val="footer"/>
    <w:aliases w:val=" Char, Char3,Char3 Char Char Char Char,Char3 Char Char Char Char Char,Char3 Char Char,Body Text 21 Char Char,Body Text 21 Char Char Char Char,Footer1, Char Char1 Char Char, Char Char1 Char,Char3,Char Char1 Char Char Char Char,Char Char1 Char Char"/>
    <w:basedOn w:val="Normal"/>
    <w:link w:val="FooterChar"/>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uiPriority w:val="99"/>
    <w:rPr>
      <w:color w:val="0000FF"/>
      <w:u w:val="single"/>
    </w:rPr>
  </w:style>
  <w:style w:type="character" w:styleId="Emphasis">
    <w:name w:val="Emphasis"/>
    <w:qFormat/>
    <w:rsid w:val="005B69F7"/>
    <w:rPr>
      <w:i/>
      <w:iCs/>
    </w:r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link w:val="Heading2"/>
    <w:uiPriority w:val="9"/>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
    <w:rsid w:val="00B559FF"/>
    <w:pPr>
      <w:overflowPunct/>
      <w:autoSpaceDE/>
      <w:autoSpaceDN/>
      <w:adjustRightInd/>
      <w:textAlignment w:val="auto"/>
    </w:pPr>
    <w:rPr>
      <w:rFonts w:ascii="Courier New" w:hAnsi="Courier New"/>
      <w:lang w:val="x-none"/>
    </w:rPr>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5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Heading5Char">
    <w:name w:val="Heading 5 Char"/>
    <w:link w:val="Heading5"/>
    <w:uiPriority w:val="9"/>
    <w:semiHidden/>
    <w:rsid w:val="00EB2EE2"/>
    <w:rPr>
      <w:rFonts w:ascii="Calibri" w:hAnsi="Calibri"/>
      <w:b/>
      <w:bCs/>
      <w:i/>
      <w:iCs/>
      <w:sz w:val="26"/>
      <w:szCs w:val="26"/>
      <w:lang w:val="en-US" w:eastAsia="en-US"/>
    </w:rPr>
  </w:style>
  <w:style w:type="numbering" w:customStyle="1" w:styleId="NoList1">
    <w:name w:val="No List1"/>
    <w:next w:val="NoList"/>
    <w:semiHidden/>
    <w:rsid w:val="00EB2EE2"/>
  </w:style>
  <w:style w:type="paragraph" w:styleId="BalloonText">
    <w:name w:val="Balloon Text"/>
    <w:basedOn w:val="Normal"/>
    <w:link w:val="BalloonTextChar"/>
    <w:uiPriority w:val="99"/>
    <w:unhideWhenUsed/>
    <w:rsid w:val="00EB2EE2"/>
    <w:pPr>
      <w:overflowPunct/>
      <w:autoSpaceDE/>
      <w:autoSpaceDN/>
      <w:adjustRightInd/>
      <w:textAlignment w:val="auto"/>
    </w:pPr>
    <w:rPr>
      <w:rFonts w:ascii="Segoe UI" w:hAnsi="Segoe UI" w:cs="Segoe UI"/>
      <w:sz w:val="18"/>
      <w:szCs w:val="18"/>
    </w:rPr>
  </w:style>
  <w:style w:type="character" w:customStyle="1" w:styleId="BalloonTextChar">
    <w:name w:val="Balloon Text Char"/>
    <w:link w:val="BalloonText"/>
    <w:uiPriority w:val="99"/>
    <w:rsid w:val="00EB2EE2"/>
    <w:rPr>
      <w:rFonts w:ascii="Segoe UI" w:hAnsi="Segoe UI" w:cs="Segoe UI"/>
      <w:sz w:val="18"/>
      <w:szCs w:val="18"/>
      <w:lang w:val="en-US" w:eastAsia="en-US"/>
    </w:rPr>
  </w:style>
  <w:style w:type="character" w:customStyle="1" w:styleId="Heading3Char">
    <w:name w:val="Heading 3 Char"/>
    <w:link w:val="Heading3"/>
    <w:uiPriority w:val="9"/>
    <w:rsid w:val="00EB2EE2"/>
    <w:rPr>
      <w:rFonts w:ascii="Arial" w:hAnsi="Arial"/>
      <w:b/>
      <w:sz w:val="28"/>
      <w:lang w:val="en-US" w:eastAsia="en-US"/>
    </w:rPr>
  </w:style>
  <w:style w:type="paragraph" w:styleId="NormalWeb">
    <w:name w:val="Normal (Web)"/>
    <w:basedOn w:val="Normal"/>
    <w:rsid w:val="00EB2EE2"/>
    <w:pPr>
      <w:overflowPunct/>
      <w:autoSpaceDE/>
      <w:autoSpaceDN/>
      <w:adjustRightInd/>
      <w:spacing w:before="100" w:beforeAutospacing="1" w:after="390"/>
      <w:textAlignment w:val="auto"/>
    </w:pPr>
    <w:rPr>
      <w:rFonts w:ascii="Times New Roman" w:hAnsi="Times New Roman"/>
      <w:sz w:val="24"/>
      <w:szCs w:val="24"/>
      <w:lang w:val="bg-BG" w:eastAsia="bg-BG"/>
    </w:rPr>
  </w:style>
  <w:style w:type="character" w:styleId="Strong">
    <w:name w:val="Strong"/>
    <w:qFormat/>
    <w:rsid w:val="00EB2EE2"/>
    <w:rPr>
      <w:b/>
      <w:bCs/>
    </w:rPr>
  </w:style>
  <w:style w:type="paragraph" w:styleId="ListParagraph">
    <w:name w:val="List Paragraph"/>
    <w:basedOn w:val="Normal"/>
    <w:uiPriority w:val="34"/>
    <w:qFormat/>
    <w:rsid w:val="00514D44"/>
    <w:pPr>
      <w:ind w:left="708"/>
    </w:pPr>
  </w:style>
  <w:style w:type="character" w:customStyle="1" w:styleId="HeaderChar">
    <w:name w:val="Header Char"/>
    <w:aliases w:val=" Char8 Char,Header Char Char Char Char Char Char Char,Header Char Char Char Char Char,Char1 Char Char Char Char"/>
    <w:link w:val="Header"/>
    <w:rsid w:val="007D3B38"/>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755</Words>
  <Characters>4310</Characters>
  <Application>Microsoft Office Word</Application>
  <DocSecurity>0</DocSecurity>
  <Lines>35</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4</cp:revision>
  <cp:lastPrinted>2025-12-15T12:25:00Z</cp:lastPrinted>
  <dcterms:created xsi:type="dcterms:W3CDTF">2026-01-05T09:44:00Z</dcterms:created>
  <dcterms:modified xsi:type="dcterms:W3CDTF">2026-01-05T09:45:00Z</dcterms:modified>
</cp:coreProperties>
</file>