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93" w:rsidRPr="0020123B" w:rsidRDefault="00DF1293" w:rsidP="00DF1293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70BC2" w:rsidRPr="00654822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от ОС</w:t>
      </w:r>
      <w:r w:rsidR="0042339B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П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рез предходната година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:rsidR="00670BC2" w:rsidRPr="00654822" w:rsidRDefault="00670BC2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:rsidR="004C5A42" w:rsidRPr="00C40E5A" w:rsidRDefault="004C5A42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</w:t>
      </w:r>
      <w:r w:rsidR="00D85BF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да се следи за текущото изпълнение и за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добро планиране на оценките за надзор и преакредитация на органите </w:t>
      </w:r>
      <w:r w:rsidR="0042339B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сертификация на продукти,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са определени показатели за изпълнение  на дейността на </w:t>
      </w:r>
      <w:r w:rsidR="0042339B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ОСП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:rsidR="004C5A42" w:rsidRPr="00C40E5A" w:rsidRDefault="004C5A42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трябва да се представя от ОС</w:t>
      </w:r>
      <w:r w:rsidR="0042339B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F10566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 15 януари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всяка година, като събраните данни са за предходната година от 01 януари до 31 декември. Напр. ОС</w:t>
      </w:r>
      <w:r w:rsidR="0042339B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трябва да представят</w:t>
      </w:r>
      <w:r w:rsidR="00F91244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данни по посочените в таблица 1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показатели </w:t>
      </w:r>
      <w:r w:rsidR="00C40E5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 </w:t>
      </w:r>
      <w:r w:rsidR="00C40E5A" w:rsidRPr="00A17D8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15.01.2026</w:t>
      </w:r>
      <w:r w:rsidR="00F10566" w:rsidRPr="00A17D8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г</w:t>
      </w:r>
      <w:r w:rsidR="00F10566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за дейността, която са извършили </w:t>
      </w:r>
      <w:r w:rsidR="00C40E5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от </w:t>
      </w:r>
      <w:r w:rsidR="00C40E5A" w:rsidRPr="00A17D8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01.01.2025г. до 31.12.2025</w:t>
      </w:r>
      <w:r w:rsidR="00F10566" w:rsidRPr="00A17D8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г</w:t>
      </w:r>
      <w:r w:rsidR="00F10566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:rsidR="000C2403" w:rsidRPr="00C40E5A" w:rsidRDefault="000C2403" w:rsidP="000C2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20123B" w:rsidRPr="00C40E5A" w:rsidRDefault="00D85BFA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:rsidR="00922146" w:rsidRPr="00C40E5A" w:rsidRDefault="00922146" w:rsidP="00922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5727B3" w:rsidRPr="00C40E5A" w:rsidRDefault="00D85BFA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3.1 </w:t>
      </w:r>
      <w:r w:rsidR="00580658" w:rsidRPr="00A17D8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Общ</w:t>
      </w:r>
      <w:r w:rsidR="00580658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рой на сертификатите под акредитация</w:t>
      </w:r>
      <w:r w:rsidR="00580658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</w:t>
      </w:r>
      <w:r w:rsidR="00580658" w:rsidRPr="00C40E5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вкл. издадени в други държави</w:t>
      </w:r>
      <w:r w:rsidR="00580658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валидни до края на декември, като преброяването трябва да става като се следват  правилата</w:t>
      </w:r>
      <w:r w:rsidR="005727B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:</w:t>
      </w:r>
    </w:p>
    <w:p w:rsidR="005727B3" w:rsidRPr="00C40E5A" w:rsidRDefault="00D85BFA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  ако клиент притежава  валиден сертификат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една площадк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а/ местоположение</w:t>
      </w:r>
      <w:r w:rsidR="001726A9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това се брои като един сертификат. </w:t>
      </w:r>
    </w:p>
    <w:p w:rsidR="005727B3" w:rsidRPr="00C40E5A" w:rsidRDefault="005727B3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 а</w:t>
      </w:r>
      <w:r w:rsidR="00D85BF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ко един клиент притежава един сертификат</w:t>
      </w:r>
      <w:r w:rsidR="001726A9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повече от една</w:t>
      </w:r>
      <w:r w:rsidR="00D85BF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площадка/ местоположение</w:t>
      </w:r>
      <w:r w:rsidR="00D85BF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се брои като един сертификат, </w:t>
      </w:r>
    </w:p>
    <w:p w:rsidR="00D85BFA" w:rsidRPr="00C40E5A" w:rsidRDefault="005727B3" w:rsidP="009221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D85BF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ако за отделните местоположения на един клиент са издадени  отделни сертификати</w:t>
      </w:r>
      <w:r w:rsidR="001726A9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се </w:t>
      </w:r>
      <w:r w:rsidR="001726A9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брои</w:t>
      </w:r>
      <w:r w:rsidR="00D85BF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всеки един издаден сертификат за местоположение.</w:t>
      </w:r>
    </w:p>
    <w:p w:rsidR="0020123B" w:rsidRPr="00C40E5A" w:rsidRDefault="00945332" w:rsidP="0092214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922146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</w:t>
      </w:r>
      <w:r w:rsidR="005727B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 валиден сертификат се счита този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който е във ва</w:t>
      </w:r>
      <w:r w:rsidR="005727B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лидност съгласно сключен договор (с активна или временно спряна сертификация). Отнети сертификати не се считат за валидни и не се броят. </w:t>
      </w:r>
    </w:p>
    <w:p w:rsidR="0020123B" w:rsidRPr="00C40E5A" w:rsidRDefault="005727B3" w:rsidP="0092214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3.2 Брой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оценяващ персонал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 дава се информация за броя на о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ценяващия персонал за съответната схема за сертификация</w:t>
      </w:r>
      <w:r w:rsidR="000B6C0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  <w:r w:rsidR="00580658" w:rsidRPr="00C40E5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(общо включително в други държави).</w:t>
      </w:r>
    </w:p>
    <w:p w:rsidR="0020123B" w:rsidRPr="00C40E5A" w:rsidRDefault="000B6C0A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3.3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Брой прехвърлени и приети сертификати от ОСП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през отчетната година,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1726A9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ава </w:t>
      </w:r>
      <w:r w:rsidR="001726A9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за </w:t>
      </w:r>
      <w:r w:rsidR="001726A9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броя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сертификати, прехвърлени и приети от ОСП от друг ОСП. </w:t>
      </w:r>
    </w:p>
    <w:p w:rsidR="000B6C0A" w:rsidRPr="00C40E5A" w:rsidRDefault="000B6C0A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FF7504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Брой оценяващ персонал в други държави – дава се информация </w:t>
      </w:r>
      <w:r w:rsidR="00FF7504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броя на персонала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 държави.</w:t>
      </w:r>
    </w:p>
    <w:p w:rsidR="00012F0E" w:rsidRPr="00C40E5A" w:rsidRDefault="00012F0E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FF7504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</w:rPr>
        <w:t>Брой сертификати издадени в други държави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– дава се информация за д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ържави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издавал сертификати през отчетния период и съответния брой издадени сертификати. Дава се информация за всяка </w:t>
      </w:r>
      <w:r w:rsidR="00945332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схема за сертификация на продукти.</w:t>
      </w:r>
    </w:p>
    <w:p w:rsidR="0039445F" w:rsidRPr="00C40E5A" w:rsidRDefault="00FF7504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3.6 Офиси и ключови дейности в други държави-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дава 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се информация за държави</w:t>
      </w:r>
      <w:r w:rsidR="00897270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</w:t>
      </w:r>
      <w:r w:rsidR="0039445F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 които ОС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</w:t>
      </w:r>
      <w:r w:rsidR="0039445F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има офис</w:t>
      </w:r>
      <w:r w:rsidR="00012F0E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39445F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ключовите  дейности</w:t>
      </w:r>
      <w:r w:rsidR="00012F0E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се извършват в офисите.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</w:t>
      </w:r>
    </w:p>
    <w:p w:rsidR="0039445F" w:rsidRPr="00C40E5A" w:rsidRDefault="00012F0E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897270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7</w:t>
      </w:r>
      <w:r w:rsidR="0039445F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сертификати</w:t>
      </w:r>
      <w:r w:rsidR="00DF1293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издадени от всеки офис в друга държава</w:t>
      </w: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за всяка  </w:t>
      </w:r>
      <w:r w:rsidR="00897270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схема за сертификация на продукти.</w:t>
      </w:r>
    </w:p>
    <w:p w:rsidR="00580658" w:rsidRPr="00C40E5A" w:rsidRDefault="00DF1293" w:rsidP="00580658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897270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8</w:t>
      </w:r>
      <w:r w:rsidR="00012F0E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="002A088A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рой на спрени  и отнети сертификати за отчетния период. </w:t>
      </w:r>
      <w:r w:rsidR="00580658" w:rsidRPr="00C40E5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(</w:t>
      </w:r>
      <w:r w:rsidR="00580658" w:rsidRPr="00C40E5A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дава се информация за всяка държава поотделно).</w:t>
      </w:r>
    </w:p>
    <w:p w:rsidR="002A088A" w:rsidRPr="00C40E5A" w:rsidRDefault="002A088A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5134E5" w:rsidRPr="00C40E5A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hAnsi="Verdana" w:cs="Tahoma"/>
          <w:sz w:val="16"/>
          <w:szCs w:val="16"/>
        </w:rPr>
      </w:pPr>
    </w:p>
    <w:p w:rsidR="00D9622B" w:rsidRDefault="00D9622B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hAnsi="Verdana" w:cs="Tahoma"/>
          <w:sz w:val="16"/>
          <w:szCs w:val="16"/>
        </w:rPr>
      </w:pPr>
    </w:p>
    <w:p w:rsidR="00D9622B" w:rsidRDefault="00D9622B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hAnsi="Verdana" w:cs="Tahoma"/>
          <w:sz w:val="16"/>
          <w:szCs w:val="16"/>
        </w:rPr>
      </w:pPr>
    </w:p>
    <w:p w:rsidR="00D9622B" w:rsidRDefault="00D9622B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hAnsi="Verdana" w:cs="Tahoma"/>
          <w:sz w:val="16"/>
          <w:szCs w:val="16"/>
        </w:rPr>
      </w:pPr>
    </w:p>
    <w:p w:rsidR="00D9622B" w:rsidRDefault="00D9622B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hAnsi="Verdana" w:cs="Tahoma"/>
          <w:sz w:val="16"/>
          <w:szCs w:val="16"/>
        </w:rPr>
      </w:pPr>
    </w:p>
    <w:p w:rsidR="00D9622B" w:rsidRDefault="00D9622B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bookmarkStart w:id="0" w:name="_GoBack"/>
      <w:bookmarkEnd w:id="0"/>
    </w:p>
    <w:p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5134E5" w:rsidRDefault="005134E5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5134E5" w:rsidRDefault="005134E5" w:rsidP="009C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F91244" w:rsidRDefault="00F91244" w:rsidP="00F91244">
      <w:pPr>
        <w:spacing w:after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>Таблица 1</w:t>
      </w:r>
    </w:p>
    <w:p w:rsidR="00DB5602" w:rsidRPr="00956C8F" w:rsidRDefault="00DB5602" w:rsidP="00DB5602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proofErr w:type="gramStart"/>
      <w:r w:rsidRPr="00956C8F">
        <w:rPr>
          <w:rFonts w:ascii="Verdana" w:hAnsi="Verdana"/>
          <w:b/>
          <w:sz w:val="20"/>
          <w:szCs w:val="20"/>
        </w:rPr>
        <w:t>ИНФОРМАЦИЯ  ПО</w:t>
      </w:r>
      <w:proofErr w:type="gramEnd"/>
      <w:r w:rsidRPr="00956C8F">
        <w:rPr>
          <w:rFonts w:ascii="Verdana" w:hAnsi="Verdana"/>
          <w:b/>
          <w:sz w:val="20"/>
          <w:szCs w:val="20"/>
        </w:rPr>
        <w:t xml:space="preserve">  ПОКАЗАТЕЛИ ЗА ИЗПЪЛНЕНИЕ  НА ДЕЙНОСТТА НА О</w:t>
      </w:r>
      <w:r>
        <w:rPr>
          <w:rFonts w:ascii="Verdana" w:hAnsi="Verdana"/>
          <w:b/>
          <w:sz w:val="20"/>
          <w:szCs w:val="20"/>
          <w:lang w:val="bg-BG"/>
        </w:rPr>
        <w:t>СП</w:t>
      </w:r>
    </w:p>
    <w:tbl>
      <w:tblPr>
        <w:tblW w:w="10506" w:type="dxa"/>
        <w:tblInd w:w="-318" w:type="dxa"/>
        <w:tblLook w:val="04A0" w:firstRow="1" w:lastRow="0" w:firstColumn="1" w:lastColumn="0" w:noHBand="0" w:noVBand="1"/>
      </w:tblPr>
      <w:tblGrid>
        <w:gridCol w:w="4476"/>
        <w:gridCol w:w="6030"/>
      </w:tblGrid>
      <w:tr w:rsidR="00DB5602" w:rsidRPr="00956C8F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602" w:rsidRPr="00956C8F" w:rsidRDefault="00DB5602" w:rsidP="002E012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Орган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012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за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012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продукти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02" w:rsidRPr="00956C8F" w:rsidRDefault="00DB5602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602" w:rsidRPr="00956C8F" w:rsidRDefault="00DB5602" w:rsidP="00DB560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ОС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П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тел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., е-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Сертификат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B5602" w:rsidRPr="00DB5602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№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………</w:t>
            </w:r>
            <w:proofErr w:type="gram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…..</w:t>
            </w:r>
            <w:proofErr w:type="gram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Заповед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№………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5602" w:rsidRPr="00956C8F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ОСП</w:t>
            </w:r>
            <w:r w:rsidR="009549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9549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 w:rsidR="009549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02" w:rsidRPr="00956C8F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602" w:rsidRPr="00956C8F" w:rsidTr="00DB5602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602" w:rsidRPr="00956C8F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02" w:rsidRPr="00956C8F" w:rsidRDefault="00F10566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0E5A"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  <w:t>напр</w:t>
            </w:r>
            <w:proofErr w:type="spellEnd"/>
            <w:r w:rsidRPr="00C40E5A"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  <w:t>. 01.01.202</w:t>
            </w:r>
            <w:r w:rsidR="00580658" w:rsidRPr="00C40E5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>5</w:t>
            </w:r>
            <w:r w:rsidRPr="00C40E5A"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  <w:t xml:space="preserve"> г. – 31.12.20</w:t>
            </w:r>
            <w:r w:rsidR="00580658" w:rsidRPr="00C40E5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>25</w:t>
            </w:r>
            <w:r w:rsidRPr="00C40E5A"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  <w:t xml:space="preserve"> г. </w:t>
            </w:r>
          </w:p>
        </w:tc>
      </w:tr>
    </w:tbl>
    <w:p w:rsidR="0042339B" w:rsidRPr="00964CFB" w:rsidRDefault="0042339B" w:rsidP="0042339B">
      <w:pPr>
        <w:spacing w:after="0"/>
        <w:jc w:val="center"/>
        <w:rPr>
          <w:b/>
          <w:sz w:val="16"/>
          <w:szCs w:val="16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085"/>
        <w:gridCol w:w="1249"/>
        <w:gridCol w:w="1276"/>
        <w:gridCol w:w="1276"/>
        <w:gridCol w:w="1417"/>
        <w:gridCol w:w="1276"/>
        <w:gridCol w:w="1418"/>
      </w:tblGrid>
      <w:tr w:rsidR="00FF7504" w:rsidRPr="00CC7AF0" w:rsidTr="00C40E5A">
        <w:trPr>
          <w:trHeight w:val="106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CC7AF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F7504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CC7AF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Обхват на акредитация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/</w:t>
            </w:r>
          </w:p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показатели за дейността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F7504" w:rsidRPr="00CC7AF0" w:rsidRDefault="00A17D8A" w:rsidP="00FF75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Регламент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(ЕО) № </w:t>
            </w:r>
            <w:r w:rsidRPr="008E74CD">
              <w:rPr>
                <w:rFonts w:ascii="Verdana" w:eastAsia="Times New Roman" w:hAnsi="Verdana" w:cs="Times New Roman"/>
                <w:i/>
                <w:sz w:val="16"/>
                <w:szCs w:val="16"/>
              </w:rPr>
              <w:t>848/2018</w:t>
            </w:r>
            <w:r w:rsidR="00FF7504" w:rsidRPr="008E74CD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;</w:t>
            </w:r>
            <w:r w:rsidR="00FF7504" w:rsidRPr="00CC7AF0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7504" w:rsidRPr="00CC7AF0" w:rsidRDefault="00A17D8A" w:rsidP="00FF7504">
            <w:pPr>
              <w:jc w:val="both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 xml:space="preserve">Регламент (ЕС) № </w:t>
            </w:r>
            <w:r w:rsidRPr="008E74CD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1143/2024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7504" w:rsidRPr="00CC7AF0" w:rsidRDefault="00FF7504" w:rsidP="00FF7504">
            <w:pPr>
              <w:jc w:val="both"/>
              <w:rPr>
                <w:sz w:val="16"/>
                <w:szCs w:val="16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>Регламент</w:t>
            </w:r>
            <w:proofErr w:type="spellEnd"/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 xml:space="preserve"> (ЕС) № 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305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>/201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1</w:t>
            </w:r>
            <w:r w:rsidRPr="00CC7AF0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F7504" w:rsidRPr="00FF7504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Строителни продукти в доброволната област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Машини и съоръжения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F7504" w:rsidRPr="000C2403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="000C2403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(посочва се областта на дейност</w:t>
            </w:r>
          </w:p>
        </w:tc>
      </w:tr>
      <w:tr w:rsidR="00FF7504" w:rsidRPr="00CC7AF0" w:rsidTr="000C2403">
        <w:trPr>
          <w:trHeight w:val="7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сертификати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валидни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края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м.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декември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:rsidTr="00344023">
        <w:trPr>
          <w:trHeight w:val="6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3.2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о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ценяващ персонал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ind w:left="-1300" w:firstLine="130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CC7AF0" w:rsidRDefault="00FF7504" w:rsidP="00FF7504">
            <w:pPr>
              <w:spacing w:after="0" w:line="240" w:lineRule="auto"/>
              <w:ind w:left="-1300" w:firstLine="130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945332" w:rsidTr="000C2403">
        <w:trPr>
          <w:trHeight w:val="6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45332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3.3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945332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45332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прехвърлени</w:t>
            </w:r>
            <w:r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и приети</w:t>
            </w:r>
            <w:r w:rsidRPr="00945332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сертификати </w:t>
            </w:r>
            <w:r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от </w:t>
            </w:r>
            <w:r w:rsidRPr="00945332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ОСП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945332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:rsidTr="000C2403">
        <w:trPr>
          <w:trHeight w:val="6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42339B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3.4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о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ценяващ персонал</w:t>
            </w: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 xml:space="preserve"> в други държави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3.5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Брой сертификати издадени в други държави*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Офиси и ключови дейности в други държави*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Брой сертификати издадени от 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фис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и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в друга държава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*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F7504" w:rsidRPr="00CC7AF0" w:rsidTr="000C2403">
        <w:trPr>
          <w:trHeight w:val="7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04" w:rsidRPr="00CC7AF0" w:rsidRDefault="00FF7504" w:rsidP="00FF75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на спрени  и отнети сертификати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04" w:rsidRPr="00CC7AF0" w:rsidRDefault="00FF7504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</w:tbl>
    <w:p w:rsidR="009C57D7" w:rsidRDefault="0042339B" w:rsidP="009C57D7">
      <w:pPr>
        <w:rPr>
          <w:b/>
          <w:color w:val="000000" w:themeColor="text1"/>
          <w:sz w:val="18"/>
          <w:szCs w:val="18"/>
        </w:rPr>
      </w:pPr>
      <w:r>
        <w:rPr>
          <w:b/>
          <w:sz w:val="16"/>
          <w:szCs w:val="16"/>
        </w:rPr>
        <w:t>*</w:t>
      </w:r>
      <w:proofErr w:type="spellStart"/>
      <w:r w:rsidRPr="002C1535">
        <w:rPr>
          <w:b/>
          <w:sz w:val="16"/>
          <w:szCs w:val="16"/>
        </w:rPr>
        <w:t>Посочват</w:t>
      </w:r>
      <w:proofErr w:type="spellEnd"/>
      <w:r w:rsidRPr="002C1535">
        <w:rPr>
          <w:b/>
          <w:sz w:val="16"/>
          <w:szCs w:val="16"/>
        </w:rPr>
        <w:t xml:space="preserve"> </w:t>
      </w:r>
      <w:proofErr w:type="spellStart"/>
      <w:r w:rsidRPr="002C1535">
        <w:rPr>
          <w:b/>
          <w:sz w:val="16"/>
          <w:szCs w:val="16"/>
        </w:rPr>
        <w:t>се</w:t>
      </w:r>
      <w:proofErr w:type="spellEnd"/>
      <w:r w:rsidRPr="002C1535">
        <w:rPr>
          <w:b/>
          <w:sz w:val="16"/>
          <w:szCs w:val="16"/>
        </w:rPr>
        <w:t xml:space="preserve"> </w:t>
      </w:r>
      <w:proofErr w:type="spellStart"/>
      <w:r w:rsidRPr="002C1535">
        <w:rPr>
          <w:b/>
          <w:sz w:val="16"/>
          <w:szCs w:val="16"/>
        </w:rPr>
        <w:t>държавите</w:t>
      </w:r>
      <w:proofErr w:type="spellEnd"/>
      <w:r w:rsidRPr="006D62E8">
        <w:rPr>
          <w:rFonts w:ascii="Verdana" w:eastAsia="Times New Roman" w:hAnsi="Verdana" w:cs="Times New Roman"/>
          <w:i/>
          <w:noProof/>
          <w:sz w:val="20"/>
          <w:szCs w:val="20"/>
        </w:rPr>
        <w:t xml:space="preserve"> </w:t>
      </w:r>
      <w:r w:rsidR="00C40E5A" w:rsidRPr="002D425C">
        <w:rPr>
          <w:b/>
          <w:color w:val="000000" w:themeColor="text1"/>
          <w:sz w:val="18"/>
          <w:szCs w:val="18"/>
          <w:lang w:val="bg-BG"/>
        </w:rPr>
        <w:t>дава се информация за всяка държава поотделно</w:t>
      </w:r>
      <w:r w:rsidR="009C57D7">
        <w:rPr>
          <w:b/>
          <w:color w:val="000000" w:themeColor="text1"/>
          <w:sz w:val="18"/>
          <w:szCs w:val="18"/>
        </w:rPr>
        <w:t xml:space="preserve">  </w:t>
      </w:r>
    </w:p>
    <w:p w:rsidR="009C57D7" w:rsidRPr="009C57D7" w:rsidRDefault="009C57D7" w:rsidP="009C57D7">
      <w:pPr>
        <w:rPr>
          <w:b/>
          <w:color w:val="000000" w:themeColor="text1"/>
          <w:sz w:val="18"/>
          <w:szCs w:val="18"/>
        </w:rPr>
      </w:pPr>
      <w:r>
        <w:rPr>
          <w:rFonts w:ascii="Verdana" w:hAnsi="Verdana" w:cs="Tahoma"/>
          <w:sz w:val="16"/>
          <w:szCs w:val="16"/>
        </w:rPr>
        <w:t>И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зготвил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: </w:t>
      </w:r>
      <w:r>
        <w:rPr>
          <w:rFonts w:ascii="Verdana" w:hAnsi="Verdana" w:cs="Tahoma"/>
          <w:sz w:val="16"/>
          <w:szCs w:val="16"/>
          <w:lang w:val="bg-BG"/>
        </w:rPr>
        <w:t xml:space="preserve">Рангел Кръстанов, началник </w:t>
      </w:r>
      <w:proofErr w:type="gramStart"/>
      <w:r>
        <w:rPr>
          <w:rFonts w:ascii="Verdana" w:hAnsi="Verdana" w:cs="Tahoma"/>
          <w:sz w:val="16"/>
          <w:szCs w:val="16"/>
          <w:lang w:val="bg-BG"/>
        </w:rPr>
        <w:t xml:space="preserve">отдел </w:t>
      </w:r>
      <w:r>
        <w:rPr>
          <w:rFonts w:ascii="Verdana" w:hAnsi="Verdana" w:cs="Tahoma"/>
          <w:sz w:val="16"/>
          <w:szCs w:val="16"/>
        </w:rPr>
        <w:t xml:space="preserve"> А</w:t>
      </w:r>
      <w:r>
        <w:rPr>
          <w:rFonts w:ascii="Verdana" w:hAnsi="Verdana" w:cs="Tahoma"/>
          <w:sz w:val="16"/>
          <w:szCs w:val="16"/>
          <w:lang w:val="bg-BG"/>
        </w:rPr>
        <w:t>ОСОК</w:t>
      </w:r>
      <w:proofErr w:type="gramEnd"/>
      <w:r>
        <w:rPr>
          <w:rFonts w:ascii="Verdana" w:hAnsi="Verdana" w:cs="Tahoma"/>
          <w:sz w:val="16"/>
          <w:szCs w:val="16"/>
          <w:lang w:val="bg-BG"/>
        </w:rPr>
        <w:t xml:space="preserve"> </w:t>
      </w:r>
      <w:r>
        <w:rPr>
          <w:rFonts w:ascii="Verdana" w:hAnsi="Verdana" w:cs="Tahoma"/>
          <w:sz w:val="16"/>
          <w:szCs w:val="16"/>
        </w:rPr>
        <w:t>,................., ..............................</w:t>
      </w:r>
    </w:p>
    <w:p w:rsidR="009C57D7" w:rsidRDefault="009C57D7" w:rsidP="009C57D7">
      <w:pPr>
        <w:tabs>
          <w:tab w:val="center" w:pos="4536"/>
          <w:tab w:val="right" w:pos="9072"/>
        </w:tabs>
        <w:spacing w:after="0" w:line="240" w:lineRule="auto"/>
        <w:ind w:right="-96"/>
        <w:rPr>
          <w:rFonts w:ascii="Verdana" w:eastAsia="Times New Roman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М</w:t>
      </w:r>
      <w:r>
        <w:rPr>
          <w:rFonts w:ascii="Verdana" w:hAnsi="Verdana" w:cs="Tahoma"/>
          <w:sz w:val="16"/>
          <w:szCs w:val="16"/>
          <w:lang w:val="bg-BG"/>
        </w:rPr>
        <w:t xml:space="preserve">арина </w:t>
      </w:r>
      <w:proofErr w:type="gramStart"/>
      <w:r>
        <w:rPr>
          <w:rFonts w:ascii="Verdana" w:hAnsi="Verdana" w:cs="Tahoma"/>
          <w:sz w:val="16"/>
          <w:szCs w:val="16"/>
          <w:lang w:val="bg-BG"/>
        </w:rPr>
        <w:t xml:space="preserve">Георгиева </w:t>
      </w:r>
      <w:r>
        <w:rPr>
          <w:rFonts w:ascii="Verdana" w:hAnsi="Verdana" w:cs="Tahoma"/>
          <w:sz w:val="16"/>
          <w:szCs w:val="16"/>
          <w:lang w:val="en-GB"/>
        </w:rPr>
        <w:t>,</w:t>
      </w:r>
      <w:proofErr w:type="gramEnd"/>
      <w:r>
        <w:rPr>
          <w:rFonts w:ascii="Verdana" w:hAnsi="Verdana" w:cs="Tahoma"/>
          <w:sz w:val="16"/>
          <w:szCs w:val="16"/>
          <w:lang w:val="en-GB"/>
        </w:rPr>
        <w:t xml:space="preserve"> </w:t>
      </w:r>
      <w:r>
        <w:rPr>
          <w:rFonts w:ascii="Verdana" w:hAnsi="Verdana" w:cs="Tahoma"/>
          <w:sz w:val="16"/>
          <w:szCs w:val="16"/>
          <w:lang w:val="bg-BG"/>
        </w:rPr>
        <w:t>отговорник по качеството</w:t>
      </w:r>
      <w:r>
        <w:rPr>
          <w:rFonts w:ascii="Verdana" w:hAnsi="Verdana" w:cs="Tahoma"/>
          <w:sz w:val="16"/>
          <w:szCs w:val="16"/>
        </w:rPr>
        <w:t xml:space="preserve"> и ДД АООС</w:t>
      </w:r>
      <w:r>
        <w:rPr>
          <w:rFonts w:ascii="Verdana" w:hAnsi="Verdana" w:cs="Tahoma"/>
          <w:sz w:val="16"/>
          <w:szCs w:val="16"/>
          <w:lang w:val="en-GB"/>
        </w:rPr>
        <w:t xml:space="preserve">, </w:t>
      </w:r>
      <w:r>
        <w:rPr>
          <w:rFonts w:ascii="Verdana" w:hAnsi="Verdana" w:cs="Tahoma"/>
          <w:sz w:val="16"/>
          <w:szCs w:val="16"/>
        </w:rPr>
        <w:t>..............., .......................</w:t>
      </w:r>
    </w:p>
    <w:p w:rsidR="009C57D7" w:rsidRDefault="009C57D7" w:rsidP="009C57D7">
      <w:pPr>
        <w:tabs>
          <w:tab w:val="center" w:pos="4536"/>
          <w:tab w:val="right" w:pos="9072"/>
        </w:tabs>
        <w:spacing w:after="0" w:line="240" w:lineRule="auto"/>
        <w:ind w:right="-96"/>
        <w:rPr>
          <w:rFonts w:ascii="Verdana" w:hAnsi="Verdana" w:cs="Tahoma"/>
          <w:sz w:val="16"/>
          <w:szCs w:val="16"/>
        </w:rPr>
      </w:pPr>
      <w:proofErr w:type="spellStart"/>
      <w:r>
        <w:rPr>
          <w:rFonts w:ascii="Verdana" w:hAnsi="Verdana" w:cs="Tahoma"/>
          <w:sz w:val="16"/>
          <w:szCs w:val="16"/>
          <w:lang w:val="en-GB"/>
        </w:rPr>
        <w:t>Утвърдил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: 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Изпълнителен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директор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на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 ИА </w:t>
      </w:r>
      <w:proofErr w:type="gramStart"/>
      <w:r>
        <w:rPr>
          <w:rFonts w:ascii="Verdana" w:hAnsi="Verdana" w:cs="Tahoma"/>
          <w:sz w:val="16"/>
          <w:szCs w:val="16"/>
          <w:lang w:val="en-GB"/>
        </w:rPr>
        <w:t xml:space="preserve">БСА </w:t>
      </w:r>
      <w:r>
        <w:rPr>
          <w:rFonts w:ascii="Verdana" w:hAnsi="Verdana" w:cs="Tahoma"/>
          <w:sz w:val="16"/>
          <w:szCs w:val="16"/>
        </w:rPr>
        <w:t>,</w:t>
      </w:r>
      <w:proofErr w:type="gramEnd"/>
      <w:r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  <w:lang w:val="bg-BG"/>
        </w:rPr>
        <w:t>инж. Мария Илиева- Йорданова</w:t>
      </w:r>
      <w:r>
        <w:rPr>
          <w:rFonts w:ascii="Verdana" w:hAnsi="Verdana" w:cs="Tahoma"/>
          <w:sz w:val="16"/>
          <w:szCs w:val="16"/>
        </w:rPr>
        <w:t>, ............., ...............</w:t>
      </w:r>
    </w:p>
    <w:p w:rsidR="009C57D7" w:rsidRDefault="009C57D7" w:rsidP="009C57D7">
      <w:pPr>
        <w:rPr>
          <w:b/>
          <w:color w:val="000000" w:themeColor="text1"/>
          <w:sz w:val="18"/>
          <w:szCs w:val="18"/>
        </w:rPr>
      </w:pPr>
    </w:p>
    <w:p w:rsidR="00580658" w:rsidRPr="00A17D8A" w:rsidRDefault="00580658" w:rsidP="009C57D7">
      <w:pPr>
        <w:jc w:val="both"/>
        <w:rPr>
          <w:b/>
          <w:i/>
          <w:color w:val="000000" w:themeColor="text1"/>
          <w:sz w:val="18"/>
          <w:szCs w:val="18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Необходимо е </w:t>
      </w:r>
      <w:r w:rsidR="00C40E5A"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от 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ОСП  да се представи</w:t>
      </w:r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актуален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план/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график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на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потвърдените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и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планирани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инспекции/одити</w:t>
      </w:r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на оператори/производител</w:t>
      </w:r>
      <w:r w:rsidR="003303B4" w:rsidRPr="00A17D8A">
        <w:rPr>
          <w:rFonts w:ascii="Verdana" w:hAnsi="Verdana" w:cs="Arial-BoldMT"/>
          <w:bCs/>
          <w:i/>
          <w:sz w:val="20"/>
          <w:szCs w:val="20"/>
          <w:lang w:val="bg-BG"/>
        </w:rPr>
        <w:t>и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 </w:t>
      </w:r>
      <w:r w:rsidRPr="00A17D8A">
        <w:rPr>
          <w:rFonts w:ascii="Verdana" w:hAnsi="Verdana" w:cs="Arial-BoldMT"/>
          <w:bCs/>
          <w:i/>
          <w:sz w:val="20"/>
          <w:szCs w:val="20"/>
        </w:rPr>
        <w:t>с</w:t>
      </w:r>
      <w:r w:rsidR="00C40E5A"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 най-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малко следната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информация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: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  <w:lang w:val="bg-BG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-</w:t>
      </w:r>
      <w:proofErr w:type="spellStart"/>
      <w:r w:rsidR="00A17D8A">
        <w:rPr>
          <w:rFonts w:ascii="Verdana" w:hAnsi="Verdana" w:cs="Arial-BoldMT"/>
          <w:bCs/>
          <w:i/>
          <w:sz w:val="20"/>
          <w:szCs w:val="20"/>
        </w:rPr>
        <w:t>организаци</w:t>
      </w:r>
      <w:proofErr w:type="spellEnd"/>
      <w:r w:rsidR="00A17D8A">
        <w:rPr>
          <w:rFonts w:ascii="Verdana" w:hAnsi="Verdana" w:cs="Arial-BoldMT"/>
          <w:bCs/>
          <w:i/>
          <w:sz w:val="20"/>
          <w:szCs w:val="20"/>
          <w:lang w:val="bg-BG"/>
        </w:rPr>
        <w:t>я</w:t>
      </w:r>
      <w:r w:rsidR="00A17D8A">
        <w:rPr>
          <w:rFonts w:ascii="Verdana" w:hAnsi="Verdana" w:cs="Arial-BoldMT"/>
          <w:bCs/>
          <w:i/>
          <w:sz w:val="20"/>
          <w:szCs w:val="20"/>
        </w:rPr>
        <w:t>/</w:t>
      </w:r>
      <w:proofErr w:type="spellStart"/>
      <w:r w:rsidR="00A17D8A">
        <w:rPr>
          <w:rFonts w:ascii="Verdana" w:hAnsi="Verdana" w:cs="Arial-BoldMT"/>
          <w:bCs/>
          <w:i/>
          <w:sz w:val="20"/>
          <w:szCs w:val="20"/>
        </w:rPr>
        <w:t>клиент</w:t>
      </w:r>
      <w:proofErr w:type="spellEnd"/>
      <w:r w:rsidR="00A17D8A">
        <w:rPr>
          <w:rFonts w:ascii="Verdana" w:hAnsi="Verdana" w:cs="Arial-BoldMT"/>
          <w:bCs/>
          <w:i/>
          <w:sz w:val="20"/>
          <w:szCs w:val="20"/>
        </w:rPr>
        <w:t>/</w:t>
      </w:r>
      <w:r w:rsidR="00C40E5A" w:rsidRPr="00A17D8A">
        <w:rPr>
          <w:rFonts w:ascii="Verdana" w:hAnsi="Verdana" w:cs="Arial-BoldMT"/>
          <w:bCs/>
          <w:i/>
          <w:sz w:val="20"/>
          <w:szCs w:val="20"/>
          <w:lang w:val="bg-BG"/>
        </w:rPr>
        <w:t>оператор/производител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- планирани д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ати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/период на одит</w:t>
      </w:r>
      <w:r w:rsidRPr="00A17D8A">
        <w:rPr>
          <w:rFonts w:ascii="Verdana" w:hAnsi="Verdana" w:cs="Arial-BoldMT"/>
          <w:bCs/>
          <w:i/>
          <w:sz w:val="20"/>
          <w:szCs w:val="20"/>
        </w:rPr>
        <w:t>/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инспекция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- </w:t>
      </w:r>
      <w:proofErr w:type="spellStart"/>
      <w:r w:rsidR="003303B4" w:rsidRPr="00A17D8A">
        <w:rPr>
          <w:rFonts w:ascii="Verdana" w:hAnsi="Verdana" w:cs="Arial-BoldMT"/>
          <w:bCs/>
          <w:i/>
          <w:sz w:val="20"/>
          <w:szCs w:val="20"/>
        </w:rPr>
        <w:t>местоположение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-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екип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от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одитори</w:t>
      </w:r>
      <w:proofErr w:type="spellEnd"/>
      <w:r w:rsidR="001B6EE3">
        <w:rPr>
          <w:rFonts w:ascii="Verdana" w:hAnsi="Verdana" w:cs="Arial-BoldMT"/>
          <w:bCs/>
          <w:i/>
          <w:sz w:val="20"/>
          <w:szCs w:val="20"/>
          <w:lang w:val="bg-BG"/>
        </w:rPr>
        <w:t>/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инспектори</w:t>
      </w:r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  <w:lang w:val="bg-BG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-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вид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и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обхват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на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одита</w:t>
      </w:r>
      <w:proofErr w:type="spellEnd"/>
      <w:r w:rsidR="001B6EE3">
        <w:rPr>
          <w:rFonts w:ascii="Verdana" w:hAnsi="Verdana" w:cs="Arial-BoldMT"/>
          <w:bCs/>
          <w:i/>
          <w:sz w:val="20"/>
          <w:szCs w:val="20"/>
          <w:lang w:val="bg-BG"/>
        </w:rPr>
        <w:t>/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инспекцията 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  <w:lang w:val="bg-BG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-сертификационни схеми, в които попада дейността на организацията, когато е приложимо</w:t>
      </w:r>
      <w:r w:rsidRPr="00A17D8A">
        <w:rPr>
          <w:rFonts w:ascii="Verdana" w:hAnsi="Verdana" w:cs="Arial-BoldMT"/>
          <w:bCs/>
          <w:i/>
          <w:sz w:val="20"/>
          <w:szCs w:val="20"/>
        </w:rPr>
        <w:t xml:space="preserve"> и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 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</w:rPr>
      </w:pP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-</w:t>
      </w:r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други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в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зависим</w:t>
      </w:r>
      <w:r w:rsidR="001B6EE3">
        <w:rPr>
          <w:rFonts w:ascii="Verdana" w:hAnsi="Verdana" w:cs="Arial-BoldMT"/>
          <w:bCs/>
          <w:i/>
          <w:sz w:val="20"/>
          <w:szCs w:val="20"/>
        </w:rPr>
        <w:t>ост</w:t>
      </w:r>
      <w:proofErr w:type="spellEnd"/>
      <w:r w:rsidR="001B6EE3">
        <w:rPr>
          <w:rFonts w:ascii="Verdana" w:hAnsi="Verdana" w:cs="Arial-BoldMT"/>
          <w:bCs/>
          <w:i/>
          <w:sz w:val="20"/>
          <w:szCs w:val="20"/>
        </w:rPr>
        <w:t xml:space="preserve">  </w:t>
      </w:r>
      <w:proofErr w:type="spellStart"/>
      <w:r w:rsidR="001B6EE3">
        <w:rPr>
          <w:rFonts w:ascii="Verdana" w:hAnsi="Verdana" w:cs="Arial-BoldMT"/>
          <w:bCs/>
          <w:i/>
          <w:sz w:val="20"/>
          <w:szCs w:val="20"/>
        </w:rPr>
        <w:t>от</w:t>
      </w:r>
      <w:proofErr w:type="spellEnd"/>
      <w:r w:rsidR="001B6EE3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="001B6EE3">
        <w:rPr>
          <w:rFonts w:ascii="Verdana" w:hAnsi="Verdana" w:cs="Arial-BoldMT"/>
          <w:bCs/>
          <w:i/>
          <w:sz w:val="20"/>
          <w:szCs w:val="20"/>
        </w:rPr>
        <w:t>схемата</w:t>
      </w:r>
      <w:proofErr w:type="spellEnd"/>
      <w:r w:rsidR="001B6EE3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="001B6EE3">
        <w:rPr>
          <w:rFonts w:ascii="Verdana" w:hAnsi="Verdana" w:cs="Arial-BoldMT"/>
          <w:bCs/>
          <w:i/>
          <w:sz w:val="20"/>
          <w:szCs w:val="20"/>
        </w:rPr>
        <w:t>на</w:t>
      </w:r>
      <w:proofErr w:type="spellEnd"/>
      <w:r w:rsidR="001B6EE3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="001B6EE3">
        <w:rPr>
          <w:rFonts w:ascii="Verdana" w:hAnsi="Verdana" w:cs="Arial-BoldMT"/>
          <w:bCs/>
          <w:i/>
          <w:sz w:val="20"/>
          <w:szCs w:val="20"/>
        </w:rPr>
        <w:t>сертификация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>,</w:t>
      </w:r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</w:p>
    <w:p w:rsidR="00580658" w:rsidRPr="00A17D8A" w:rsidRDefault="00580658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</w:rPr>
      </w:pP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за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планираните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за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наблюдение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дейности</w:t>
      </w:r>
      <w:proofErr w:type="spellEnd"/>
      <w:r w:rsidR="00A17D8A">
        <w:rPr>
          <w:rFonts w:ascii="Verdana" w:hAnsi="Verdana" w:cs="Arial-BoldMT"/>
          <w:bCs/>
          <w:i/>
          <w:sz w:val="20"/>
          <w:szCs w:val="20"/>
        </w:rPr>
        <w:t>,</w:t>
      </w:r>
      <w:r w:rsidRPr="00A17D8A">
        <w:rPr>
          <w:rFonts w:ascii="Verdana" w:hAnsi="Verdana" w:cs="Arial-BoldMT"/>
          <w:bCs/>
          <w:i/>
          <w:sz w:val="20"/>
          <w:szCs w:val="20"/>
        </w:rPr>
        <w:t xml:space="preserve"> в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цикъла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на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акредитация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r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посочени в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секция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F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на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proofErr w:type="spellStart"/>
      <w:r w:rsidRPr="00A17D8A">
        <w:rPr>
          <w:rFonts w:ascii="Verdana" w:hAnsi="Verdana" w:cs="Arial-BoldMT"/>
          <w:bCs/>
          <w:i/>
          <w:sz w:val="20"/>
          <w:szCs w:val="20"/>
        </w:rPr>
        <w:t>доклад</w:t>
      </w:r>
      <w:proofErr w:type="spellEnd"/>
      <w:r w:rsidRPr="00A17D8A">
        <w:rPr>
          <w:rFonts w:ascii="Verdana" w:hAnsi="Verdana" w:cs="Arial-BoldMT"/>
          <w:bCs/>
          <w:i/>
          <w:sz w:val="20"/>
          <w:szCs w:val="20"/>
        </w:rPr>
        <w:t xml:space="preserve"> BAS QA 2.9.5.4. </w:t>
      </w:r>
    </w:p>
    <w:p w:rsidR="00580658" w:rsidRPr="00A17D8A" w:rsidRDefault="00A17D8A" w:rsidP="00580658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sz w:val="20"/>
          <w:szCs w:val="20"/>
          <w:lang w:val="bg-BG"/>
        </w:rPr>
      </w:pPr>
      <w:r>
        <w:rPr>
          <w:rFonts w:ascii="Verdana" w:hAnsi="Verdana" w:cs="Arial-BoldMT"/>
          <w:bCs/>
          <w:i/>
          <w:sz w:val="20"/>
          <w:szCs w:val="20"/>
          <w:lang w:val="bg-BG"/>
        </w:rPr>
        <w:t xml:space="preserve">В плана/графика е </w:t>
      </w:r>
      <w:proofErr w:type="spellStart"/>
      <w:r>
        <w:rPr>
          <w:rFonts w:ascii="Verdana" w:hAnsi="Verdana" w:cs="Arial-BoldMT"/>
          <w:bCs/>
          <w:i/>
          <w:sz w:val="20"/>
          <w:szCs w:val="20"/>
          <w:lang w:val="bg-BG"/>
        </w:rPr>
        <w:t>необходимo</w:t>
      </w:r>
      <w:proofErr w:type="spellEnd"/>
      <w:r w:rsidR="00580658"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 да се представи информация за всички </w:t>
      </w:r>
      <w:proofErr w:type="spellStart"/>
      <w:r w:rsidR="00580658" w:rsidRPr="00A17D8A">
        <w:rPr>
          <w:rFonts w:ascii="Verdana" w:hAnsi="Verdana" w:cs="Arial-BoldMT"/>
          <w:bCs/>
          <w:i/>
          <w:sz w:val="20"/>
          <w:szCs w:val="20"/>
        </w:rPr>
        <w:t>потвърдени</w:t>
      </w:r>
      <w:proofErr w:type="spellEnd"/>
      <w:r w:rsidR="00580658" w:rsidRPr="00A17D8A">
        <w:rPr>
          <w:rFonts w:ascii="Verdana" w:hAnsi="Verdana" w:cs="Arial-BoldMT"/>
          <w:bCs/>
          <w:i/>
          <w:sz w:val="20"/>
          <w:szCs w:val="20"/>
        </w:rPr>
        <w:t xml:space="preserve"> и </w:t>
      </w:r>
      <w:proofErr w:type="spellStart"/>
      <w:r w:rsidR="00580658" w:rsidRPr="00A17D8A">
        <w:rPr>
          <w:rFonts w:ascii="Verdana" w:hAnsi="Verdana" w:cs="Arial-BoldMT"/>
          <w:bCs/>
          <w:i/>
          <w:sz w:val="20"/>
          <w:szCs w:val="20"/>
        </w:rPr>
        <w:t>планирани</w:t>
      </w:r>
      <w:proofErr w:type="spellEnd"/>
      <w:r w:rsidR="00580658" w:rsidRPr="00A17D8A">
        <w:rPr>
          <w:rFonts w:ascii="Verdana" w:hAnsi="Verdana" w:cs="Arial-BoldMT"/>
          <w:bCs/>
          <w:i/>
          <w:sz w:val="20"/>
          <w:szCs w:val="20"/>
        </w:rPr>
        <w:t xml:space="preserve"> </w:t>
      </w:r>
      <w:r>
        <w:rPr>
          <w:rFonts w:ascii="Verdana" w:hAnsi="Verdana" w:cs="Arial-BoldMT"/>
          <w:bCs/>
          <w:i/>
          <w:sz w:val="20"/>
          <w:szCs w:val="20"/>
          <w:lang w:val="bg-BG"/>
        </w:rPr>
        <w:t>одити/</w:t>
      </w:r>
      <w:r w:rsidR="00580658" w:rsidRPr="00A17D8A">
        <w:rPr>
          <w:rFonts w:ascii="Verdana" w:hAnsi="Verdana" w:cs="Arial-BoldMT"/>
          <w:bCs/>
          <w:i/>
          <w:sz w:val="20"/>
          <w:szCs w:val="20"/>
          <w:lang w:val="bg-BG"/>
        </w:rPr>
        <w:t>инспекции</w:t>
      </w:r>
      <w:r w:rsidR="00C40E5A"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 </w:t>
      </w:r>
      <w:r w:rsidR="00580658" w:rsidRPr="00A17D8A">
        <w:rPr>
          <w:rFonts w:ascii="Verdana" w:hAnsi="Verdana" w:cs="Arial-BoldMT"/>
          <w:bCs/>
          <w:i/>
          <w:sz w:val="20"/>
          <w:szCs w:val="20"/>
          <w:lang w:val="bg-BG"/>
        </w:rPr>
        <w:t xml:space="preserve">извън територията на РБългария. </w:t>
      </w:r>
    </w:p>
    <w:p w:rsidR="00580658" w:rsidRPr="003303B4" w:rsidRDefault="00580658" w:rsidP="00580658">
      <w:pPr>
        <w:autoSpaceDE w:val="0"/>
        <w:autoSpaceDN w:val="0"/>
        <w:adjustRightInd w:val="0"/>
        <w:jc w:val="both"/>
        <w:rPr>
          <w:rFonts w:ascii="Verdana" w:hAnsi="Verdana" w:cs="Arial-BoldMT"/>
          <w:bCs/>
          <w:sz w:val="20"/>
          <w:szCs w:val="20"/>
          <w:lang w:val="bg-BG"/>
        </w:rPr>
      </w:pPr>
    </w:p>
    <w:p w:rsidR="00580658" w:rsidRPr="00C40E5A" w:rsidRDefault="00580658" w:rsidP="0058065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i/>
          <w:sz w:val="20"/>
          <w:szCs w:val="20"/>
          <w:lang w:val="bg-BG"/>
        </w:rPr>
      </w:pPr>
      <w:r w:rsidRPr="00C40E5A">
        <w:rPr>
          <w:rFonts w:ascii="Verdana" w:hAnsi="Verdana" w:cs="Arial-BoldMT"/>
          <w:b/>
          <w:bCs/>
          <w:i/>
          <w:sz w:val="20"/>
          <w:szCs w:val="20"/>
          <w:lang w:val="bg-BG"/>
        </w:rPr>
        <w:t>ПЛАН/Г</w:t>
      </w:r>
      <w:r w:rsidRPr="00C40E5A">
        <w:rPr>
          <w:rFonts w:ascii="Verdana" w:hAnsi="Verdana" w:cs="Arial-BoldMT"/>
          <w:b/>
          <w:bCs/>
          <w:i/>
          <w:sz w:val="20"/>
          <w:szCs w:val="20"/>
        </w:rPr>
        <w:t xml:space="preserve">РАФИК НА ПОТВЪРДЕНИТЕ И ПЛАНИРАНИ </w:t>
      </w:r>
      <w:r w:rsidRPr="00C40E5A">
        <w:rPr>
          <w:rFonts w:ascii="Verdana" w:hAnsi="Verdana" w:cs="Arial-BoldMT"/>
          <w:b/>
          <w:bCs/>
          <w:i/>
          <w:sz w:val="20"/>
          <w:szCs w:val="20"/>
          <w:lang w:val="bg-BG"/>
        </w:rPr>
        <w:t>ОДИТИ</w:t>
      </w:r>
      <w:r w:rsidR="00A17D8A">
        <w:rPr>
          <w:rFonts w:ascii="Verdana" w:hAnsi="Verdana" w:cs="Arial-BoldMT"/>
          <w:b/>
          <w:bCs/>
          <w:i/>
          <w:sz w:val="20"/>
          <w:szCs w:val="20"/>
          <w:lang w:val="bg-BG"/>
        </w:rPr>
        <w:t>/ИНСПЕКЦИИ</w:t>
      </w:r>
      <w:r w:rsidRPr="00C40E5A">
        <w:rPr>
          <w:rFonts w:ascii="Verdana" w:hAnsi="Verdana" w:cs="Arial-BoldMT"/>
          <w:b/>
          <w:bCs/>
          <w:i/>
          <w:sz w:val="20"/>
          <w:szCs w:val="20"/>
          <w:lang w:val="bg-BG"/>
        </w:rPr>
        <w:t xml:space="preserve">– ВЪВ ФОРМА СЪГЛАСНО СИСТЕМАТА ЗА УПРАВЛЕНИЕ </w:t>
      </w:r>
      <w:r w:rsidR="00A17D8A">
        <w:rPr>
          <w:rFonts w:ascii="Verdana" w:hAnsi="Verdana" w:cs="Arial-BoldMT"/>
          <w:b/>
          <w:bCs/>
          <w:i/>
          <w:sz w:val="20"/>
          <w:szCs w:val="20"/>
          <w:lang w:val="bg-BG"/>
        </w:rPr>
        <w:t>НА ОСП</w:t>
      </w:r>
    </w:p>
    <w:p w:rsidR="00580658" w:rsidRPr="006D62E8" w:rsidRDefault="00580658" w:rsidP="0042339B">
      <w:pPr>
        <w:rPr>
          <w:rFonts w:ascii="Verdana" w:eastAsia="Times New Roman" w:hAnsi="Verdana" w:cs="Times New Roman"/>
          <w:i/>
          <w:noProof/>
          <w:sz w:val="20"/>
          <w:szCs w:val="20"/>
        </w:rPr>
      </w:pPr>
    </w:p>
    <w:p w:rsidR="003303B4" w:rsidRDefault="003303B4" w:rsidP="00DB5602">
      <w:pPr>
        <w:spacing w:after="0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3303B4" w:rsidRDefault="003303B4" w:rsidP="00DB5602">
      <w:pPr>
        <w:spacing w:after="0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DB5602" w:rsidRPr="00344023" w:rsidRDefault="00DB5602" w:rsidP="00DB5602">
      <w:pPr>
        <w:spacing w:after="0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>Ръководител на ОСП:…………………………………………………………………………………………………………….</w:t>
      </w:r>
    </w:p>
    <w:p w:rsidR="00DB5602" w:rsidRPr="00344023" w:rsidRDefault="00DB5602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 xml:space="preserve">                                                 (име, фамилия, подпис, дата) </w:t>
      </w:r>
    </w:p>
    <w:p w:rsidR="00A17D8A" w:rsidRPr="00344023" w:rsidRDefault="00DB5602" w:rsidP="00DB5602">
      <w:pPr>
        <w:spacing w:after="0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>Представител на юридическото лице:…………………………………………………….………………………….</w:t>
      </w:r>
    </w:p>
    <w:p w:rsidR="00DB5602" w:rsidRDefault="00DB5602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344023">
        <w:rPr>
          <w:rFonts w:ascii="Verdana" w:eastAsia="Times New Roman" w:hAnsi="Verdana" w:cs="Times New Roman"/>
          <w:sz w:val="18"/>
          <w:szCs w:val="18"/>
          <w:lang w:val="bg-BG"/>
        </w:rPr>
        <w:t xml:space="preserve">                                                 (име, фамилия, подпис, дата) </w:t>
      </w:r>
    </w:p>
    <w:p w:rsidR="00A17D8A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A17D8A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A17D8A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A17D8A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A17D8A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A17D8A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A17D8A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p w:rsidR="00A17D8A" w:rsidRPr="009C57D7" w:rsidRDefault="00A17D8A" w:rsidP="00A17D8A">
      <w:pPr>
        <w:rPr>
          <w:b/>
          <w:color w:val="000000" w:themeColor="text1"/>
          <w:sz w:val="18"/>
          <w:szCs w:val="18"/>
        </w:rPr>
      </w:pPr>
      <w:r>
        <w:rPr>
          <w:rFonts w:ascii="Verdana" w:hAnsi="Verdana" w:cs="Tahoma"/>
          <w:sz w:val="16"/>
          <w:szCs w:val="16"/>
        </w:rPr>
        <w:t>И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зготвил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: </w:t>
      </w:r>
      <w:r>
        <w:rPr>
          <w:rFonts w:ascii="Verdana" w:hAnsi="Verdana" w:cs="Tahoma"/>
          <w:sz w:val="16"/>
          <w:szCs w:val="16"/>
          <w:lang w:val="bg-BG"/>
        </w:rPr>
        <w:t xml:space="preserve">Рангел Кръстанов, началник </w:t>
      </w:r>
      <w:proofErr w:type="gramStart"/>
      <w:r>
        <w:rPr>
          <w:rFonts w:ascii="Verdana" w:hAnsi="Verdana" w:cs="Tahoma"/>
          <w:sz w:val="16"/>
          <w:szCs w:val="16"/>
          <w:lang w:val="bg-BG"/>
        </w:rPr>
        <w:t xml:space="preserve">отдел </w:t>
      </w:r>
      <w:r>
        <w:rPr>
          <w:rFonts w:ascii="Verdana" w:hAnsi="Verdana" w:cs="Tahoma"/>
          <w:sz w:val="16"/>
          <w:szCs w:val="16"/>
        </w:rPr>
        <w:t xml:space="preserve"> А</w:t>
      </w:r>
      <w:r>
        <w:rPr>
          <w:rFonts w:ascii="Verdana" w:hAnsi="Verdana" w:cs="Tahoma"/>
          <w:sz w:val="16"/>
          <w:szCs w:val="16"/>
          <w:lang w:val="bg-BG"/>
        </w:rPr>
        <w:t>ОСОК</w:t>
      </w:r>
      <w:proofErr w:type="gramEnd"/>
      <w:r>
        <w:rPr>
          <w:rFonts w:ascii="Verdana" w:hAnsi="Verdana" w:cs="Tahoma"/>
          <w:sz w:val="16"/>
          <w:szCs w:val="16"/>
          <w:lang w:val="bg-BG"/>
        </w:rPr>
        <w:t xml:space="preserve"> </w:t>
      </w:r>
      <w:r>
        <w:rPr>
          <w:rFonts w:ascii="Verdana" w:hAnsi="Verdana" w:cs="Tahoma"/>
          <w:sz w:val="16"/>
          <w:szCs w:val="16"/>
        </w:rPr>
        <w:t>,................., ..............................</w:t>
      </w:r>
    </w:p>
    <w:p w:rsidR="00A17D8A" w:rsidRDefault="00A17D8A" w:rsidP="00A17D8A">
      <w:pPr>
        <w:tabs>
          <w:tab w:val="center" w:pos="4536"/>
          <w:tab w:val="right" w:pos="9072"/>
        </w:tabs>
        <w:spacing w:after="0" w:line="240" w:lineRule="auto"/>
        <w:ind w:right="-96"/>
        <w:rPr>
          <w:rFonts w:ascii="Verdana" w:eastAsia="Times New Roman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М</w:t>
      </w:r>
      <w:r>
        <w:rPr>
          <w:rFonts w:ascii="Verdana" w:hAnsi="Verdana" w:cs="Tahoma"/>
          <w:sz w:val="16"/>
          <w:szCs w:val="16"/>
          <w:lang w:val="bg-BG"/>
        </w:rPr>
        <w:t xml:space="preserve">арина </w:t>
      </w:r>
      <w:proofErr w:type="gramStart"/>
      <w:r>
        <w:rPr>
          <w:rFonts w:ascii="Verdana" w:hAnsi="Verdana" w:cs="Tahoma"/>
          <w:sz w:val="16"/>
          <w:szCs w:val="16"/>
          <w:lang w:val="bg-BG"/>
        </w:rPr>
        <w:t xml:space="preserve">Георгиева </w:t>
      </w:r>
      <w:r>
        <w:rPr>
          <w:rFonts w:ascii="Verdana" w:hAnsi="Verdana" w:cs="Tahoma"/>
          <w:sz w:val="16"/>
          <w:szCs w:val="16"/>
          <w:lang w:val="en-GB"/>
        </w:rPr>
        <w:t>,</w:t>
      </w:r>
      <w:proofErr w:type="gramEnd"/>
      <w:r>
        <w:rPr>
          <w:rFonts w:ascii="Verdana" w:hAnsi="Verdana" w:cs="Tahoma"/>
          <w:sz w:val="16"/>
          <w:szCs w:val="16"/>
          <w:lang w:val="en-GB"/>
        </w:rPr>
        <w:t xml:space="preserve"> </w:t>
      </w:r>
      <w:r>
        <w:rPr>
          <w:rFonts w:ascii="Verdana" w:hAnsi="Verdana" w:cs="Tahoma"/>
          <w:sz w:val="16"/>
          <w:szCs w:val="16"/>
          <w:lang w:val="bg-BG"/>
        </w:rPr>
        <w:t>отговорник по качеството</w:t>
      </w:r>
      <w:r>
        <w:rPr>
          <w:rFonts w:ascii="Verdana" w:hAnsi="Verdana" w:cs="Tahoma"/>
          <w:sz w:val="16"/>
          <w:szCs w:val="16"/>
        </w:rPr>
        <w:t xml:space="preserve"> и ДД АООС</w:t>
      </w:r>
      <w:r>
        <w:rPr>
          <w:rFonts w:ascii="Verdana" w:hAnsi="Verdana" w:cs="Tahoma"/>
          <w:sz w:val="16"/>
          <w:szCs w:val="16"/>
          <w:lang w:val="en-GB"/>
        </w:rPr>
        <w:t xml:space="preserve">, </w:t>
      </w:r>
      <w:r>
        <w:rPr>
          <w:rFonts w:ascii="Verdana" w:hAnsi="Verdana" w:cs="Tahoma"/>
          <w:sz w:val="16"/>
          <w:szCs w:val="16"/>
        </w:rPr>
        <w:t>..............., .......................</w:t>
      </w:r>
    </w:p>
    <w:p w:rsidR="00A17D8A" w:rsidRDefault="00A17D8A" w:rsidP="00A17D8A">
      <w:pPr>
        <w:tabs>
          <w:tab w:val="center" w:pos="4536"/>
          <w:tab w:val="right" w:pos="9072"/>
        </w:tabs>
        <w:spacing w:after="0" w:line="240" w:lineRule="auto"/>
        <w:ind w:right="-96"/>
        <w:rPr>
          <w:rFonts w:ascii="Verdana" w:hAnsi="Verdana" w:cs="Tahoma"/>
          <w:sz w:val="16"/>
          <w:szCs w:val="16"/>
          <w:lang w:val="en-GB"/>
        </w:rPr>
      </w:pPr>
    </w:p>
    <w:p w:rsidR="00A17D8A" w:rsidRDefault="00A17D8A" w:rsidP="00A17D8A">
      <w:pPr>
        <w:tabs>
          <w:tab w:val="center" w:pos="4536"/>
          <w:tab w:val="right" w:pos="9072"/>
        </w:tabs>
        <w:spacing w:after="0" w:line="240" w:lineRule="auto"/>
        <w:ind w:right="-96"/>
        <w:rPr>
          <w:rFonts w:ascii="Verdana" w:hAnsi="Verdana" w:cs="Tahoma"/>
          <w:sz w:val="16"/>
          <w:szCs w:val="16"/>
        </w:rPr>
      </w:pPr>
      <w:proofErr w:type="spellStart"/>
      <w:r>
        <w:rPr>
          <w:rFonts w:ascii="Verdana" w:hAnsi="Verdana" w:cs="Tahoma"/>
          <w:sz w:val="16"/>
          <w:szCs w:val="16"/>
          <w:lang w:val="en-GB"/>
        </w:rPr>
        <w:t>Утвърдил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: 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Изпълнителен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директор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 w:cs="Tahoma"/>
          <w:sz w:val="16"/>
          <w:szCs w:val="16"/>
          <w:lang w:val="en-GB"/>
        </w:rPr>
        <w:t>на</w:t>
      </w:r>
      <w:proofErr w:type="spellEnd"/>
      <w:r>
        <w:rPr>
          <w:rFonts w:ascii="Verdana" w:hAnsi="Verdana" w:cs="Tahoma"/>
          <w:sz w:val="16"/>
          <w:szCs w:val="16"/>
          <w:lang w:val="en-GB"/>
        </w:rPr>
        <w:t xml:space="preserve"> ИА </w:t>
      </w:r>
      <w:proofErr w:type="gramStart"/>
      <w:r>
        <w:rPr>
          <w:rFonts w:ascii="Verdana" w:hAnsi="Verdana" w:cs="Tahoma"/>
          <w:sz w:val="16"/>
          <w:szCs w:val="16"/>
          <w:lang w:val="en-GB"/>
        </w:rPr>
        <w:t xml:space="preserve">БСА </w:t>
      </w:r>
      <w:r>
        <w:rPr>
          <w:rFonts w:ascii="Verdana" w:hAnsi="Verdana" w:cs="Tahoma"/>
          <w:sz w:val="16"/>
          <w:szCs w:val="16"/>
        </w:rPr>
        <w:t>,</w:t>
      </w:r>
      <w:proofErr w:type="gramEnd"/>
      <w:r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  <w:lang w:val="bg-BG"/>
        </w:rPr>
        <w:t>инж. Мария Илиева- Йорданова</w:t>
      </w:r>
      <w:r>
        <w:rPr>
          <w:rFonts w:ascii="Verdana" w:hAnsi="Verdana" w:cs="Tahoma"/>
          <w:sz w:val="16"/>
          <w:szCs w:val="16"/>
        </w:rPr>
        <w:t>, ............., ...............</w:t>
      </w:r>
    </w:p>
    <w:p w:rsidR="00A17D8A" w:rsidRDefault="00A17D8A" w:rsidP="00A17D8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:rsidR="00A17D8A" w:rsidRPr="00344023" w:rsidRDefault="00A17D8A" w:rsidP="00DB56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</w:p>
    <w:sectPr w:rsidR="00A17D8A" w:rsidRPr="00344023" w:rsidSect="00654822">
      <w:headerReference w:type="default" r:id="rId8"/>
      <w:footerReference w:type="default" r:id="rId9"/>
      <w:pgSz w:w="12240" w:h="15840"/>
      <w:pgMar w:top="1417" w:right="1417" w:bottom="1417" w:left="1417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24" w:rsidRDefault="00181C24" w:rsidP="00654822">
      <w:pPr>
        <w:spacing w:after="0" w:line="240" w:lineRule="auto"/>
      </w:pPr>
      <w:r>
        <w:separator/>
      </w:r>
    </w:p>
  </w:endnote>
  <w:endnote w:type="continuationSeparator" w:id="0">
    <w:p w:rsidR="00181C24" w:rsidRDefault="00181C24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66" w:rsidRDefault="00DB702A" w:rsidP="00F10566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="00F10566">
      <w:rPr>
        <w:rFonts w:ascii="Verdana" w:hAnsi="Verdana" w:cs="Tahoma"/>
        <w:bCs/>
        <w:iCs/>
        <w:sz w:val="18"/>
        <w:szCs w:val="18"/>
        <w:lang w:val="be-BY"/>
      </w:rPr>
      <w:t>Версия</w:t>
    </w:r>
    <w:r w:rsidR="00F10566">
      <w:rPr>
        <w:rFonts w:ascii="Verdana" w:hAnsi="Verdana" w:cs="Tahoma"/>
        <w:bCs/>
        <w:iCs/>
        <w:sz w:val="18"/>
        <w:szCs w:val="18"/>
        <w:lang w:val="ru-RU"/>
      </w:rPr>
      <w:t>:</w:t>
    </w:r>
    <w:r w:rsidR="00A17D8A">
      <w:rPr>
        <w:rFonts w:ascii="Verdana" w:hAnsi="Verdana" w:cs="Tahoma"/>
        <w:bCs/>
        <w:iCs/>
        <w:sz w:val="18"/>
        <w:szCs w:val="18"/>
        <w:lang w:val="be-BY"/>
      </w:rPr>
      <w:t xml:space="preserve"> 3</w:t>
    </w:r>
    <w:r w:rsidR="00F10566">
      <w:rPr>
        <w:rFonts w:ascii="Verdana" w:hAnsi="Verdana" w:cs="Tahoma"/>
        <w:bCs/>
        <w:iCs/>
        <w:sz w:val="18"/>
        <w:szCs w:val="18"/>
        <w:lang w:val="be-BY"/>
      </w:rPr>
      <w:t xml:space="preserve">  Дата</w:t>
    </w:r>
    <w:r w:rsidR="00F10566">
      <w:rPr>
        <w:rFonts w:ascii="Verdana" w:hAnsi="Verdana" w:cs="Tahoma"/>
        <w:bCs/>
        <w:iCs/>
        <w:sz w:val="18"/>
        <w:szCs w:val="18"/>
      </w:rPr>
      <w:t>:</w:t>
    </w:r>
    <w:r w:rsidR="00F8314D">
      <w:rPr>
        <w:rFonts w:ascii="Verdana" w:hAnsi="Verdana" w:cs="Tahoma"/>
        <w:bCs/>
        <w:iCs/>
        <w:sz w:val="18"/>
        <w:szCs w:val="18"/>
        <w:lang w:val="bg-BG"/>
      </w:rPr>
      <w:t>18</w:t>
    </w:r>
    <w:r w:rsidR="00C40E5A">
      <w:rPr>
        <w:rFonts w:ascii="Verdana" w:hAnsi="Verdana" w:cs="Tahoma"/>
        <w:bCs/>
        <w:iCs/>
        <w:sz w:val="18"/>
        <w:szCs w:val="18"/>
        <w:lang w:val="bg-BG"/>
      </w:rPr>
      <w:t>.12.2025</w:t>
    </w:r>
    <w:r w:rsidR="00F10566">
      <w:rPr>
        <w:rFonts w:ascii="Verdana" w:hAnsi="Verdana" w:cs="Tahoma"/>
        <w:bCs/>
        <w:iCs/>
        <w:sz w:val="18"/>
        <w:szCs w:val="18"/>
        <w:lang w:val="bg-BG"/>
      </w:rPr>
      <w:t>г.</w:t>
    </w:r>
  </w:p>
  <w:p w:rsidR="00F10566" w:rsidRDefault="00F10566" w:rsidP="00F10566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Стр. </w:t>
    </w:r>
    <w:r>
      <w:rPr>
        <w:sz w:val="18"/>
        <w:szCs w:val="18"/>
        <w:lang w:val="bg-BG"/>
      </w:rPr>
      <w:fldChar w:fldCharType="begin"/>
    </w:r>
    <w:r>
      <w:rPr>
        <w:sz w:val="18"/>
        <w:szCs w:val="18"/>
        <w:lang w:val="bg-BG"/>
      </w:rPr>
      <w:instrText xml:space="preserve"> PAGE   \* MERGEFORMAT </w:instrText>
    </w:r>
    <w:r>
      <w:rPr>
        <w:sz w:val="18"/>
        <w:szCs w:val="18"/>
        <w:lang w:val="bg-BG"/>
      </w:rPr>
      <w:fldChar w:fldCharType="separate"/>
    </w:r>
    <w:r w:rsidR="00D9622B">
      <w:rPr>
        <w:noProof/>
        <w:sz w:val="18"/>
        <w:szCs w:val="18"/>
        <w:lang w:val="bg-BG"/>
      </w:rPr>
      <w:t>2</w:t>
    </w:r>
    <w:r>
      <w:rPr>
        <w:noProof/>
        <w:sz w:val="18"/>
        <w:szCs w:val="18"/>
        <w:lang w:val="bg-BG"/>
      </w:rPr>
      <w:fldChar w:fldCharType="end"/>
    </w:r>
    <w:r w:rsidR="00F8314D">
      <w:rPr>
        <w:noProof/>
        <w:sz w:val="18"/>
        <w:szCs w:val="18"/>
        <w:lang w:val="bg-BG"/>
      </w:rPr>
      <w:t>/3</w:t>
    </w:r>
  </w:p>
  <w:p w:rsidR="00DB702A" w:rsidRPr="00654822" w:rsidRDefault="00DB702A" w:rsidP="00DB702A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</w:p>
  <w:p w:rsidR="00654822" w:rsidRPr="00654822" w:rsidRDefault="00654822" w:rsidP="00654822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24" w:rsidRDefault="00181C24" w:rsidP="00654822">
      <w:pPr>
        <w:spacing w:after="0" w:line="240" w:lineRule="auto"/>
      </w:pPr>
      <w:r>
        <w:separator/>
      </w:r>
    </w:p>
  </w:footnote>
  <w:footnote w:type="continuationSeparator" w:id="0">
    <w:p w:rsidR="00181C24" w:rsidRDefault="00181C24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293" w:rsidRDefault="00DF1293" w:rsidP="00DF1293">
    <w:pPr>
      <w:keepNext/>
      <w:widowControl w:val="0"/>
      <w:autoSpaceDE w:val="0"/>
      <w:autoSpaceDN w:val="0"/>
      <w:adjustRightInd w:val="0"/>
      <w:spacing w:after="0" w:line="240" w:lineRule="auto"/>
      <w:ind w:left="5580"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562C1B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(ОСП)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41FC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4A"/>
    <w:rsid w:val="00012F0E"/>
    <w:rsid w:val="000747C3"/>
    <w:rsid w:val="00096393"/>
    <w:rsid w:val="000B6C0A"/>
    <w:rsid w:val="000C2403"/>
    <w:rsid w:val="001726A9"/>
    <w:rsid w:val="00181C24"/>
    <w:rsid w:val="00190921"/>
    <w:rsid w:val="00191078"/>
    <w:rsid w:val="001B686D"/>
    <w:rsid w:val="001B6EE3"/>
    <w:rsid w:val="001E2719"/>
    <w:rsid w:val="0020123B"/>
    <w:rsid w:val="002A088A"/>
    <w:rsid w:val="002C39B8"/>
    <w:rsid w:val="002E0128"/>
    <w:rsid w:val="003303B4"/>
    <w:rsid w:val="00334F67"/>
    <w:rsid w:val="00344023"/>
    <w:rsid w:val="0039445F"/>
    <w:rsid w:val="0042339B"/>
    <w:rsid w:val="004C5A42"/>
    <w:rsid w:val="005134E5"/>
    <w:rsid w:val="00557FC3"/>
    <w:rsid w:val="00562C1B"/>
    <w:rsid w:val="005727B3"/>
    <w:rsid w:val="005746FF"/>
    <w:rsid w:val="00580658"/>
    <w:rsid w:val="005C4E4A"/>
    <w:rsid w:val="005F628C"/>
    <w:rsid w:val="00654822"/>
    <w:rsid w:val="00670BC2"/>
    <w:rsid w:val="006C0E4B"/>
    <w:rsid w:val="006D62E8"/>
    <w:rsid w:val="007232E9"/>
    <w:rsid w:val="007B348D"/>
    <w:rsid w:val="00875C3D"/>
    <w:rsid w:val="00897270"/>
    <w:rsid w:val="008A0D87"/>
    <w:rsid w:val="008E74CD"/>
    <w:rsid w:val="00922146"/>
    <w:rsid w:val="00945332"/>
    <w:rsid w:val="00947F73"/>
    <w:rsid w:val="009549E6"/>
    <w:rsid w:val="009C57D7"/>
    <w:rsid w:val="009D7C4E"/>
    <w:rsid w:val="009F5E32"/>
    <w:rsid w:val="00A07ABA"/>
    <w:rsid w:val="00A17D8A"/>
    <w:rsid w:val="00A95065"/>
    <w:rsid w:val="00B11D86"/>
    <w:rsid w:val="00BD7599"/>
    <w:rsid w:val="00C40E5A"/>
    <w:rsid w:val="00D85BFA"/>
    <w:rsid w:val="00D9622B"/>
    <w:rsid w:val="00DA53D5"/>
    <w:rsid w:val="00DB5602"/>
    <w:rsid w:val="00DB702A"/>
    <w:rsid w:val="00DF1293"/>
    <w:rsid w:val="00E63DED"/>
    <w:rsid w:val="00EE7E50"/>
    <w:rsid w:val="00F10566"/>
    <w:rsid w:val="00F11F13"/>
    <w:rsid w:val="00F8314D"/>
    <w:rsid w:val="00F9124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0C998"/>
  <w15:docId w15:val="{0CFF898F-8A86-49B4-9B70-B3C97DF5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D7FA-1DD5-4E03-BCF9-068D7A89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Georgieva</cp:lastModifiedBy>
  <cp:revision>9</cp:revision>
  <cp:lastPrinted>2025-12-18T15:02:00Z</cp:lastPrinted>
  <dcterms:created xsi:type="dcterms:W3CDTF">2025-12-18T12:56:00Z</dcterms:created>
  <dcterms:modified xsi:type="dcterms:W3CDTF">2026-01-09T14:15:00Z</dcterms:modified>
</cp:coreProperties>
</file>