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BEE2F" w14:textId="661F9353" w:rsidR="007E7378" w:rsidRPr="00D60C58" w:rsidRDefault="007E7378" w:rsidP="007E7378">
      <w:pPr>
        <w:widowControl w:val="0"/>
        <w:tabs>
          <w:tab w:val="left" w:pos="-720"/>
        </w:tabs>
        <w:suppressAutoHyphens/>
        <w:spacing w:before="0" w:after="0"/>
        <w:jc w:val="center"/>
        <w:rPr>
          <w:rFonts w:ascii="Times New Roman" w:eastAsia="Calibri" w:hAnsi="Times New Roman"/>
          <w:b/>
          <w:bCs/>
          <w:color w:val="A6A6A6" w:themeColor="background1" w:themeShade="A6"/>
          <w:sz w:val="28"/>
          <w:szCs w:val="28"/>
          <w:lang w:eastAsia="en-US"/>
        </w:rPr>
      </w:pPr>
      <w:bookmarkStart w:id="0" w:name="_GoBack"/>
      <w:bookmarkEnd w:id="0"/>
    </w:p>
    <w:p w14:paraId="74983D89" w14:textId="0C0D9237" w:rsidR="00D60C58" w:rsidRPr="00C25242" w:rsidRDefault="00D60C58" w:rsidP="007E7378">
      <w:pPr>
        <w:widowControl w:val="0"/>
        <w:tabs>
          <w:tab w:val="left" w:pos="-720"/>
        </w:tabs>
        <w:suppressAutoHyphens/>
        <w:spacing w:before="0"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FAEFEF9" w14:textId="77777777" w:rsidR="00C25242" w:rsidRPr="00C25242" w:rsidRDefault="00C25242" w:rsidP="007E7378">
      <w:pPr>
        <w:widowControl w:val="0"/>
        <w:tabs>
          <w:tab w:val="left" w:pos="-720"/>
        </w:tabs>
        <w:suppressAutoHyphens/>
        <w:spacing w:before="0"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8E847CF" w14:textId="77777777" w:rsidR="00976006" w:rsidRPr="000B4FC7" w:rsidRDefault="00976006" w:rsidP="00976006">
      <w:pPr>
        <w:jc w:val="center"/>
        <w:rPr>
          <w:rFonts w:ascii="Times New Roman" w:hAnsi="Times New Roman"/>
          <w:b/>
        </w:rPr>
      </w:pPr>
    </w:p>
    <w:p w14:paraId="7217A7DD" w14:textId="77777777" w:rsidR="00976006" w:rsidRPr="008C3707" w:rsidRDefault="00976006" w:rsidP="00976006">
      <w:pPr>
        <w:jc w:val="center"/>
        <w:rPr>
          <w:rFonts w:ascii="Times New Roman" w:hAnsi="Times New Roman"/>
          <w:b/>
          <w:sz w:val="28"/>
          <w:szCs w:val="28"/>
        </w:rPr>
      </w:pPr>
      <w:r w:rsidRPr="008C3707">
        <w:rPr>
          <w:rFonts w:ascii="Times New Roman" w:hAnsi="Times New Roman"/>
          <w:b/>
          <w:sz w:val="28"/>
          <w:szCs w:val="28"/>
        </w:rPr>
        <w:t>ПОКАНА</w:t>
      </w:r>
    </w:p>
    <w:p w14:paraId="45EC4EA8" w14:textId="3B637569" w:rsidR="007E7378" w:rsidRPr="007E7378" w:rsidRDefault="00976006" w:rsidP="00112AC6">
      <w:pPr>
        <w:jc w:val="center"/>
        <w:rPr>
          <w:rFonts w:ascii="Times New Roman" w:hAnsi="Times New Roman"/>
          <w:b/>
          <w:bCs/>
          <w:lang w:eastAsia="en-US"/>
        </w:rPr>
      </w:pPr>
      <w:r w:rsidRPr="000B4FC7">
        <w:rPr>
          <w:rFonts w:ascii="Times New Roman" w:hAnsi="Times New Roman"/>
        </w:rPr>
        <w:t xml:space="preserve">за представяне на оферта </w:t>
      </w:r>
      <w:bookmarkStart w:id="1" w:name="_Hlk19178921"/>
      <w:r w:rsidR="00112AC6">
        <w:rPr>
          <w:rFonts w:ascii="Times New Roman" w:hAnsi="Times New Roman"/>
        </w:rPr>
        <w:t>за участие в пряко договаряне</w:t>
      </w:r>
      <w:r w:rsidR="005123A0">
        <w:rPr>
          <w:rFonts w:ascii="Times New Roman" w:hAnsi="Times New Roman"/>
        </w:rPr>
        <w:t xml:space="preserve"> съгласно Закона за обществените поръчки</w:t>
      </w:r>
    </w:p>
    <w:p w14:paraId="108FB70F" w14:textId="017DBA3A" w:rsidR="00C73EAB" w:rsidRDefault="00C73EAB" w:rsidP="00C73EAB">
      <w:pPr>
        <w:jc w:val="center"/>
        <w:rPr>
          <w:rFonts w:ascii="Times New Roman" w:eastAsia="Calibri" w:hAnsi="Times New Roman"/>
          <w:b/>
          <w:lang w:eastAsia="en-US"/>
        </w:rPr>
      </w:pPr>
    </w:p>
    <w:bookmarkEnd w:id="1"/>
    <w:p w14:paraId="0472A243" w14:textId="77777777" w:rsidR="002C4F38" w:rsidRPr="00FE0972" w:rsidRDefault="002C4F38" w:rsidP="002C4F38">
      <w:pPr>
        <w:ind w:firstLine="708"/>
        <w:rPr>
          <w:rFonts w:ascii="Verdana" w:eastAsia="Calibri" w:hAnsi="Verdana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Предмет на поръчката: </w:t>
      </w:r>
      <w:r w:rsidRPr="00FE0972">
        <w:rPr>
          <w:rFonts w:ascii="Verdana" w:eastAsia="Calibri" w:hAnsi="Verdana"/>
          <w:b/>
          <w:sz w:val="20"/>
          <w:szCs w:val="20"/>
        </w:rPr>
        <w:t>"Междулабораторни сравнения, необходими за проучване и оценка на съответствието на предоставените от акредитираните от ИА БСА органи в две обособени позиции", съгласно Административен Договор за директно предоставяне на безвъзмездна финансова помощ по Оперативна програма „Иновации и конкурентоспособност“ 2014 – 2020 г.“</w:t>
      </w:r>
    </w:p>
    <w:p w14:paraId="3CC78CA7" w14:textId="22DAC056" w:rsidR="002C4F38" w:rsidRPr="00FE0972" w:rsidRDefault="002C4F38" w:rsidP="002C4F38">
      <w:pPr>
        <w:ind w:firstLine="708"/>
        <w:rPr>
          <w:rFonts w:ascii="Verdana" w:eastAsia="Calibri" w:hAnsi="Verdana"/>
          <w:b/>
          <w:sz w:val="20"/>
          <w:szCs w:val="20"/>
        </w:rPr>
      </w:pPr>
      <w:r w:rsidRPr="00FE0972">
        <w:rPr>
          <w:rFonts w:ascii="Verdana" w:eastAsia="Calibri" w:hAnsi="Verdana"/>
          <w:b/>
          <w:sz w:val="20"/>
          <w:szCs w:val="20"/>
        </w:rPr>
        <w:t xml:space="preserve">Обособена позиция №1 </w:t>
      </w:r>
      <w:r w:rsidRPr="00FE0972">
        <w:rPr>
          <w:rFonts w:ascii="Verdana" w:eastAsia="Calibri" w:hAnsi="Verdana"/>
          <w:sz w:val="20"/>
          <w:szCs w:val="20"/>
        </w:rPr>
        <w:t>"Изготвяне на проучване на предоставяните от акредитирани</w:t>
      </w:r>
      <w:r>
        <w:rPr>
          <w:rFonts w:ascii="Verdana" w:eastAsia="Calibri" w:hAnsi="Verdana"/>
          <w:sz w:val="20"/>
          <w:szCs w:val="20"/>
        </w:rPr>
        <w:t>те</w:t>
      </w:r>
      <w:r w:rsidRPr="00FE0972">
        <w:rPr>
          <w:rFonts w:ascii="Verdana" w:eastAsia="Calibri" w:hAnsi="Verdana"/>
          <w:sz w:val="20"/>
          <w:szCs w:val="20"/>
        </w:rPr>
        <w:t xml:space="preserve"> от И</w:t>
      </w:r>
      <w:r>
        <w:rPr>
          <w:rFonts w:ascii="Verdana" w:eastAsia="Calibri" w:hAnsi="Verdana"/>
          <w:sz w:val="20"/>
          <w:szCs w:val="20"/>
        </w:rPr>
        <w:t>А</w:t>
      </w:r>
      <w:r w:rsidRPr="00FE0972">
        <w:rPr>
          <w:rFonts w:ascii="Verdana" w:eastAsia="Calibri" w:hAnsi="Verdana"/>
          <w:sz w:val="20"/>
          <w:szCs w:val="20"/>
        </w:rPr>
        <w:t xml:space="preserve"> БСА органи за оценка на съответствието услуги чрез междулабораторни сравнения в област изпитване"</w:t>
      </w:r>
    </w:p>
    <w:p w14:paraId="14EA8811" w14:textId="08CE8B62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FE0972">
        <w:rPr>
          <w:rFonts w:ascii="Verdana" w:eastAsia="Calibri" w:hAnsi="Verdana"/>
          <w:b/>
          <w:sz w:val="20"/>
          <w:szCs w:val="20"/>
        </w:rPr>
        <w:t xml:space="preserve">Обособена позиция №2 </w:t>
      </w:r>
      <w:r w:rsidRPr="00FE0972">
        <w:rPr>
          <w:rFonts w:ascii="Verdana" w:eastAsia="Calibri" w:hAnsi="Verdana"/>
          <w:sz w:val="20"/>
          <w:szCs w:val="20"/>
        </w:rPr>
        <w:t>"Изготвяне на проучване на предоставяните от  И</w:t>
      </w:r>
      <w:r>
        <w:rPr>
          <w:rFonts w:ascii="Verdana" w:eastAsia="Calibri" w:hAnsi="Verdana"/>
          <w:sz w:val="20"/>
          <w:szCs w:val="20"/>
        </w:rPr>
        <w:t>А</w:t>
      </w:r>
      <w:r w:rsidRPr="00FE0972">
        <w:rPr>
          <w:rFonts w:ascii="Verdana" w:eastAsia="Calibri" w:hAnsi="Verdana"/>
          <w:sz w:val="20"/>
          <w:szCs w:val="20"/>
        </w:rPr>
        <w:t xml:space="preserve"> БСА органи </w:t>
      </w:r>
      <w:r w:rsidRPr="00951423">
        <w:rPr>
          <w:rFonts w:ascii="Verdana" w:eastAsia="Calibri" w:hAnsi="Verdana"/>
          <w:sz w:val="20"/>
          <w:szCs w:val="20"/>
        </w:rPr>
        <w:t>за оценка на съответствието услуги чрез междулабораторни сравнения в област калибриране“</w:t>
      </w:r>
    </w:p>
    <w:p w14:paraId="12D1EC96" w14:textId="203825C9" w:rsidR="00A07CC3" w:rsidRDefault="0026064A" w:rsidP="00A07CC3">
      <w:pPr>
        <w:spacing w:before="0" w:line="240" w:lineRule="auto"/>
        <w:ind w:firstLine="360"/>
        <w:rPr>
          <w:rFonts w:ascii="Times New Roman" w:hAnsi="Times New Roman"/>
          <w:b/>
          <w:lang w:eastAsia="en-US"/>
        </w:rPr>
      </w:pPr>
      <w:bookmarkStart w:id="2" w:name="_Toc482357590"/>
      <w:bookmarkStart w:id="3" w:name="_Toc505533461"/>
      <w:r w:rsidRPr="00A07CC3">
        <w:rPr>
          <w:rFonts w:ascii="Times New Roman" w:hAnsi="Times New Roman"/>
          <w:b/>
          <w:lang w:eastAsia="en-US"/>
        </w:rPr>
        <w:t>Обект</w:t>
      </w:r>
      <w:r w:rsidR="00045572" w:rsidRPr="00A07CC3">
        <w:rPr>
          <w:rFonts w:ascii="Times New Roman" w:hAnsi="Times New Roman"/>
          <w:b/>
          <w:lang w:eastAsia="en-US"/>
        </w:rPr>
        <w:t xml:space="preserve"> и предмет</w:t>
      </w:r>
      <w:r w:rsidRPr="00A07CC3">
        <w:rPr>
          <w:rFonts w:ascii="Times New Roman" w:hAnsi="Times New Roman"/>
          <w:b/>
          <w:lang w:eastAsia="en-US"/>
        </w:rPr>
        <w:t xml:space="preserve"> на обществената поръчка</w:t>
      </w:r>
      <w:bookmarkEnd w:id="2"/>
      <w:bookmarkEnd w:id="3"/>
      <w:r w:rsidR="00BF4C8A">
        <w:rPr>
          <w:rFonts w:ascii="Times New Roman" w:hAnsi="Times New Roman"/>
          <w:b/>
          <w:lang w:eastAsia="en-US"/>
        </w:rPr>
        <w:t>.</w:t>
      </w:r>
      <w:r w:rsidRPr="00A07CC3">
        <w:rPr>
          <w:rFonts w:ascii="Times New Roman" w:hAnsi="Times New Roman"/>
          <w:b/>
          <w:lang w:eastAsia="en-US"/>
        </w:rPr>
        <w:t xml:space="preserve"> </w:t>
      </w:r>
    </w:p>
    <w:p w14:paraId="3977066A" w14:textId="7512D7EA" w:rsidR="00A07CC3" w:rsidRPr="00BF4C8A" w:rsidRDefault="004843FB" w:rsidP="00A07CC3">
      <w:pPr>
        <w:spacing w:before="0" w:line="240" w:lineRule="auto"/>
        <w:ind w:firstLine="360"/>
        <w:rPr>
          <w:rFonts w:ascii="Times New Roman" w:hAnsi="Times New Roman"/>
          <w:u w:val="single"/>
          <w:lang w:eastAsia="en-US"/>
        </w:rPr>
      </w:pPr>
      <w:r w:rsidRPr="00BF4C8A">
        <w:rPr>
          <w:rFonts w:ascii="Times New Roman" w:hAnsi="Times New Roman"/>
          <w:u w:val="single"/>
          <w:lang w:eastAsia="en-US"/>
        </w:rPr>
        <w:t>Кратко описание на предмета на поръчката</w:t>
      </w:r>
      <w:r w:rsidR="00A07CC3" w:rsidRPr="00BF4C8A">
        <w:rPr>
          <w:rFonts w:ascii="Times New Roman" w:hAnsi="Times New Roman"/>
          <w:u w:val="single"/>
          <w:lang w:eastAsia="en-US"/>
        </w:rPr>
        <w:t>:</w:t>
      </w:r>
    </w:p>
    <w:p w14:paraId="70B0548D" w14:textId="4826EF0B" w:rsidR="002C4F38" w:rsidRPr="002C4F38" w:rsidRDefault="002C4F38" w:rsidP="002C4F38">
      <w:pPr>
        <w:tabs>
          <w:tab w:val="left" w:pos="426"/>
        </w:tabs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sz w:val="20"/>
          <w:szCs w:val="20"/>
        </w:rPr>
        <w:tab/>
      </w:r>
      <w:r>
        <w:rPr>
          <w:rFonts w:ascii="Verdana" w:eastAsia="Calibri" w:hAnsi="Verdana"/>
          <w:b/>
          <w:sz w:val="20"/>
          <w:szCs w:val="20"/>
        </w:rPr>
        <w:tab/>
      </w:r>
      <w:r w:rsidRPr="002C4F38">
        <w:rPr>
          <w:rFonts w:ascii="Verdana" w:eastAsia="Calibri" w:hAnsi="Verdana"/>
          <w:b/>
          <w:sz w:val="20"/>
          <w:szCs w:val="20"/>
        </w:rPr>
        <w:t>Обект</w:t>
      </w:r>
      <w:r w:rsidRPr="002C4F38">
        <w:rPr>
          <w:rFonts w:ascii="Verdana" w:eastAsia="Calibri" w:hAnsi="Verdana"/>
          <w:sz w:val="20"/>
          <w:szCs w:val="20"/>
        </w:rPr>
        <w:t xml:space="preserve"> на поръчката е изпълнението на </w:t>
      </w:r>
      <w:r w:rsidRPr="002C4F38">
        <w:rPr>
          <w:rFonts w:ascii="Verdana" w:eastAsia="Calibri" w:hAnsi="Verdana"/>
          <w:b/>
          <w:sz w:val="20"/>
          <w:szCs w:val="20"/>
        </w:rPr>
        <w:t>услуга</w:t>
      </w:r>
      <w:r w:rsidRPr="002C4F38">
        <w:rPr>
          <w:rFonts w:ascii="Verdana" w:eastAsia="Calibri" w:hAnsi="Verdana"/>
          <w:sz w:val="20"/>
          <w:szCs w:val="20"/>
        </w:rPr>
        <w:t xml:space="preserve"> по смисъла на чл. 3, ал. 1, т. 3 от ЗОП. </w:t>
      </w:r>
    </w:p>
    <w:p w14:paraId="1CB2EAF7" w14:textId="77777777" w:rsidR="002C4F38" w:rsidRDefault="002C4F38" w:rsidP="002C4F38">
      <w:pPr>
        <w:tabs>
          <w:tab w:val="left" w:pos="426"/>
        </w:tabs>
        <w:ind w:left="36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 w:rsidRPr="002C4F38">
        <w:rPr>
          <w:rFonts w:ascii="Verdana" w:eastAsia="Calibri" w:hAnsi="Verdana"/>
          <w:sz w:val="20"/>
          <w:szCs w:val="20"/>
        </w:rPr>
        <w:t>Процедурата се открива на основание чл. 20, ал. 2, т. 2) от ЗОП, във вр. с чл. 18, ал. 1, т. 12 от ЗОП /ЗОП/. Изборът на процедура се обуславя от спазване на законовите правила за възлагане, за осигуряване на публичност, прозрачност и конкурентност при възлагане на обществени поръчки. Процедурата е съобразена със стойностните прагове, определящи приложимия ред, а именно – чл. 18, ал.1, т.12 във връзка с чл.20, ал.2, т.1, 3 от ЗОП.</w:t>
      </w:r>
    </w:p>
    <w:p w14:paraId="30317FDE" w14:textId="07733E39" w:rsidR="002C4F38" w:rsidRDefault="002C4F38" w:rsidP="002C4F38">
      <w:pPr>
        <w:tabs>
          <w:tab w:val="left" w:pos="426"/>
        </w:tabs>
        <w:ind w:left="36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 w:rsidRPr="002C4F38">
        <w:rPr>
          <w:rFonts w:ascii="Verdana" w:eastAsia="Calibri" w:hAnsi="Verdana"/>
          <w:sz w:val="20"/>
          <w:szCs w:val="20"/>
        </w:rPr>
        <w:t>Участниците могат да подават оферта за една или за двете обособени позиции.</w:t>
      </w:r>
    </w:p>
    <w:p w14:paraId="2A504155" w14:textId="69FC3215" w:rsidR="002C4F38" w:rsidRPr="002C4F38" w:rsidRDefault="002C4F38" w:rsidP="002C4F38">
      <w:pPr>
        <w:tabs>
          <w:tab w:val="left" w:pos="426"/>
        </w:tabs>
        <w:ind w:left="360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 w:rsidRPr="002C4F38">
        <w:rPr>
          <w:rFonts w:ascii="Verdana" w:eastAsia="Calibri" w:hAnsi="Verdana"/>
          <w:sz w:val="20"/>
          <w:szCs w:val="20"/>
        </w:rPr>
        <w:t xml:space="preserve">Продължителността на изпълнение на възлаганите услуги и за двете обособени позиции от предмета на поръчката е до </w:t>
      </w:r>
      <w:r w:rsidRPr="002C4F38">
        <w:rPr>
          <w:rFonts w:ascii="Verdana" w:eastAsia="Calibri" w:hAnsi="Verdana"/>
          <w:b/>
          <w:sz w:val="20"/>
          <w:szCs w:val="20"/>
        </w:rPr>
        <w:t>60 (шестдесет) календарни дни,</w:t>
      </w:r>
      <w:r w:rsidRPr="002C4F38">
        <w:rPr>
          <w:rFonts w:ascii="Verdana" w:eastAsia="Calibri" w:hAnsi="Verdana"/>
          <w:sz w:val="20"/>
          <w:szCs w:val="20"/>
        </w:rPr>
        <w:t xml:space="preserve"> считано от момента на получаване на възлагателно писмо. За избрания изпълнител ще бъде задължително спазване на конкретно получените указания от Възложителя, в съответствие с изискванията на финансиращата програма.</w:t>
      </w:r>
    </w:p>
    <w:p w14:paraId="67747D4B" w14:textId="77777777" w:rsidR="002C4F38" w:rsidRDefault="002C4F38" w:rsidP="002C4F38">
      <w:pPr>
        <w:ind w:firstLine="360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  <w:u w:val="single"/>
        </w:rPr>
        <w:t>Място на изпълнение</w:t>
      </w:r>
      <w:r w:rsidRPr="002C4F38">
        <w:rPr>
          <w:rFonts w:ascii="Verdana" w:eastAsia="Calibri" w:hAnsi="Verdana"/>
          <w:sz w:val="20"/>
          <w:szCs w:val="20"/>
        </w:rPr>
        <w:t xml:space="preserve"> </w:t>
      </w:r>
    </w:p>
    <w:p w14:paraId="63E71598" w14:textId="7AF789D3" w:rsidR="002C4F38" w:rsidRDefault="002C4F38" w:rsidP="002C4F38">
      <w:pPr>
        <w:ind w:firstLine="360"/>
        <w:rPr>
          <w:rFonts w:ascii="Verdana" w:eastAsia="Calibri" w:hAnsi="Verdana"/>
          <w:b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 xml:space="preserve">Възложителят определя като обичайно място за приемане на изпълнението на възлаганото  - гр. София, </w:t>
      </w:r>
      <w:r w:rsidRPr="002C4F38">
        <w:rPr>
          <w:rFonts w:ascii="Verdana" w:eastAsia="Calibri" w:hAnsi="Verdana"/>
          <w:sz w:val="20"/>
          <w:szCs w:val="20"/>
          <w:shd w:val="clear" w:color="auto" w:fill="FFFFFF"/>
        </w:rPr>
        <w:t>бул. „Д-р Г. М. Димитров“ № 52А, ет. 7</w:t>
      </w:r>
      <w:r w:rsidRPr="002C4F38">
        <w:rPr>
          <w:rFonts w:ascii="Verdana" w:eastAsia="Calibri" w:hAnsi="Verdana"/>
          <w:b/>
          <w:sz w:val="20"/>
          <w:szCs w:val="20"/>
        </w:rPr>
        <w:t>.</w:t>
      </w:r>
    </w:p>
    <w:p w14:paraId="056F4CDB" w14:textId="65A13AAD" w:rsidR="002C4F38" w:rsidRPr="002C4F38" w:rsidRDefault="002C4F38" w:rsidP="002C4F38">
      <w:pPr>
        <w:ind w:firstLine="360"/>
        <w:rPr>
          <w:rFonts w:ascii="Verdana" w:eastAsia="Calibri" w:hAnsi="Verdana"/>
          <w:bCs/>
          <w:sz w:val="20"/>
          <w:szCs w:val="20"/>
          <w:u w:val="single"/>
        </w:rPr>
      </w:pPr>
      <w:r w:rsidRPr="002C4F38">
        <w:rPr>
          <w:rFonts w:ascii="Verdana" w:eastAsia="Calibri" w:hAnsi="Verdana"/>
          <w:bCs/>
          <w:sz w:val="20"/>
          <w:szCs w:val="20"/>
          <w:u w:val="single"/>
        </w:rPr>
        <w:t>Прогнозна стойност</w:t>
      </w:r>
    </w:p>
    <w:p w14:paraId="33345F81" w14:textId="7C6F4E5F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b/>
          <w:sz w:val="20"/>
          <w:szCs w:val="20"/>
        </w:rPr>
        <w:t>Прогнозна стойност на поръчката: Максималната стойност на настоящата поръчка е 200 000.00/двеста хиляди лева/ лв. без ДДС или 240 000.00 /двеста и четиридесет хиляди / лв. с ДДС,</w:t>
      </w:r>
      <w:r w:rsidRPr="002C4F38">
        <w:rPr>
          <w:rFonts w:ascii="Verdana" w:eastAsia="Calibri" w:hAnsi="Verdana"/>
          <w:sz w:val="20"/>
          <w:szCs w:val="20"/>
        </w:rPr>
        <w:t xml:space="preserve"> разпределени в обособени позиции:</w:t>
      </w:r>
    </w:p>
    <w:p w14:paraId="7B40B84B" w14:textId="77777777" w:rsidR="002C4F38" w:rsidRPr="002C4F38" w:rsidRDefault="002C4F38" w:rsidP="006E06BD">
      <w:pPr>
        <w:pStyle w:val="ListParagraph"/>
        <w:numPr>
          <w:ilvl w:val="0"/>
          <w:numId w:val="3"/>
        </w:numPr>
        <w:rPr>
          <w:rFonts w:ascii="Verdana" w:eastAsia="Calibri" w:hAnsi="Verdana"/>
          <w:b/>
          <w:sz w:val="20"/>
          <w:szCs w:val="20"/>
        </w:rPr>
      </w:pPr>
      <w:bookmarkStart w:id="4" w:name="_Hlk489907094"/>
      <w:r w:rsidRPr="002C4F38">
        <w:rPr>
          <w:rFonts w:ascii="Verdana" w:eastAsia="Calibri" w:hAnsi="Verdana"/>
          <w:b/>
          <w:sz w:val="20"/>
          <w:szCs w:val="20"/>
        </w:rPr>
        <w:lastRenderedPageBreak/>
        <w:t xml:space="preserve">Обособена позиция 1: 100 000.00 / сто хиляди лева / без ДДС </w:t>
      </w:r>
      <w:r w:rsidRPr="002C4F38">
        <w:rPr>
          <w:rFonts w:ascii="Verdana" w:eastAsia="Calibri" w:hAnsi="Verdana"/>
          <w:sz w:val="20"/>
          <w:szCs w:val="20"/>
        </w:rPr>
        <w:t>или 120 000.00лева с ДДС;</w:t>
      </w:r>
    </w:p>
    <w:p w14:paraId="7CEB0CAE" w14:textId="77777777" w:rsidR="002C4F38" w:rsidRPr="002C4F38" w:rsidRDefault="002C4F38" w:rsidP="006E06BD">
      <w:pPr>
        <w:pStyle w:val="ListParagraph"/>
        <w:numPr>
          <w:ilvl w:val="0"/>
          <w:numId w:val="3"/>
        </w:numPr>
        <w:rPr>
          <w:rFonts w:ascii="Verdana" w:eastAsia="Calibri" w:hAnsi="Verdana"/>
          <w:b/>
          <w:sz w:val="20"/>
          <w:szCs w:val="20"/>
        </w:rPr>
      </w:pPr>
      <w:r w:rsidRPr="002C4F38">
        <w:rPr>
          <w:rFonts w:ascii="Verdana" w:eastAsia="Calibri" w:hAnsi="Verdana"/>
          <w:b/>
          <w:sz w:val="20"/>
          <w:szCs w:val="20"/>
        </w:rPr>
        <w:t xml:space="preserve">Обособена позиция  2: 100 000.00 / сто хиляди лева / без ДДС </w:t>
      </w:r>
      <w:r w:rsidRPr="002C4F38">
        <w:rPr>
          <w:rFonts w:ascii="Verdana" w:eastAsia="Calibri" w:hAnsi="Verdana"/>
          <w:sz w:val="20"/>
          <w:szCs w:val="20"/>
        </w:rPr>
        <w:t>или 120 000.00лева с ДДС;</w:t>
      </w:r>
    </w:p>
    <w:bookmarkEnd w:id="4"/>
    <w:p w14:paraId="60525DBB" w14:textId="52AC2C18" w:rsidR="002C4F38" w:rsidRPr="002C4F38" w:rsidRDefault="002C4F38" w:rsidP="002C4F38">
      <w:pPr>
        <w:ind w:firstLine="360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 xml:space="preserve">Посочените прогнозни стойности са </w:t>
      </w:r>
      <w:r w:rsidRPr="002C4F38">
        <w:rPr>
          <w:rFonts w:ascii="Verdana" w:eastAsia="Calibri" w:hAnsi="Verdana"/>
          <w:b/>
          <w:sz w:val="20"/>
          <w:szCs w:val="20"/>
        </w:rPr>
        <w:t>крайни за Възложителя</w:t>
      </w:r>
      <w:r w:rsidRPr="002C4F38">
        <w:rPr>
          <w:rFonts w:ascii="Verdana" w:eastAsia="Calibri" w:hAnsi="Verdana"/>
          <w:sz w:val="20"/>
          <w:szCs w:val="20"/>
        </w:rPr>
        <w:t xml:space="preserve"> и представляват </w:t>
      </w:r>
      <w:r w:rsidRPr="002C4F38">
        <w:rPr>
          <w:rFonts w:ascii="Verdana" w:eastAsia="Calibri" w:hAnsi="Verdana"/>
          <w:b/>
          <w:sz w:val="20"/>
          <w:szCs w:val="20"/>
        </w:rPr>
        <w:t>пределната цена</w:t>
      </w:r>
      <w:r w:rsidRPr="002C4F38">
        <w:rPr>
          <w:rFonts w:ascii="Verdana" w:eastAsia="Calibri" w:hAnsi="Verdana"/>
          <w:sz w:val="20"/>
          <w:szCs w:val="20"/>
        </w:rPr>
        <w:t>, която може да бъде заплатена от него, включително за данъци, такси или други начисления/разходи, за всеки от договорите по обособените позиции. При предложена по-висока цена за изпълнение от посочените, участникът ще бъде отстранен от поръчката.</w:t>
      </w:r>
    </w:p>
    <w:p w14:paraId="52E2A5C6" w14:textId="77777777" w:rsidR="002C4F38" w:rsidRPr="002C4F38" w:rsidRDefault="002C4F38" w:rsidP="002C4F38">
      <w:pPr>
        <w:rPr>
          <w:rFonts w:ascii="Verdana" w:eastAsia="Calibri" w:hAnsi="Verdana"/>
          <w:bCs/>
          <w:sz w:val="20"/>
          <w:szCs w:val="20"/>
          <w:u w:val="single"/>
        </w:rPr>
      </w:pPr>
      <w:r w:rsidRPr="002C4F38">
        <w:rPr>
          <w:rFonts w:ascii="Verdana" w:eastAsia="Calibri" w:hAnsi="Verdana"/>
          <w:bCs/>
          <w:i/>
          <w:sz w:val="20"/>
          <w:szCs w:val="20"/>
          <w:u w:val="single"/>
        </w:rPr>
        <w:t>Финансиращ орган</w:t>
      </w:r>
      <w:r w:rsidRPr="002C4F38">
        <w:rPr>
          <w:rFonts w:ascii="Verdana" w:eastAsia="Calibri" w:hAnsi="Verdana"/>
          <w:bCs/>
          <w:sz w:val="20"/>
          <w:szCs w:val="20"/>
          <w:u w:val="single"/>
        </w:rPr>
        <w:t>:</w:t>
      </w:r>
    </w:p>
    <w:p w14:paraId="50F30949" w14:textId="77777777" w:rsid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>Възлагането на настоящата поръчка е част от изпълнението на дейностите по Проект BG16RFOP002-2.008-0001 „Повишаване ефективността и ефикасността на услугите, предоставяни на българските предприятия в областта на акредитацията“. Бенефициент  по проекта е Изпълнителна агенция „Българска служба за акредитация“, а средствата са предоставени по Оперативна програма „Иновации и конкурентоспособност“, съфинансирана от Европейския съюз чрез Европейския фонд за регионално развитие. Всички плащания във връзка със сключените договори ще се извършват при спазване на правилата на финансиращата програма.</w:t>
      </w:r>
    </w:p>
    <w:p w14:paraId="633C06D6" w14:textId="7AC47FFA" w:rsid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>Участникът следва да предложи крайна цена  (без и със ДДС, когато е приложимо) за изпълнение на всички дейности, включени в обособената позиция, за която подава своята оферта, ведно с включените съпътстващи разходи, в рамките на посочената от възложителя максимална стойност на поръчката. За предложената цена се попълва и представя Образец</w:t>
      </w:r>
      <w:r>
        <w:rPr>
          <w:rFonts w:ascii="Verdana" w:eastAsia="Calibri" w:hAnsi="Verdana"/>
          <w:sz w:val="20"/>
          <w:szCs w:val="20"/>
        </w:rPr>
        <w:t>а, прикачен в съответната категория в електронната система.</w:t>
      </w:r>
    </w:p>
    <w:p w14:paraId="7FE61B95" w14:textId="2D885BF1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>Начинът  на плащане за изпълнените услуги за всяка от обособените позиции е описан в проекта на договор</w:t>
      </w:r>
      <w:r w:rsidRPr="002C4F38">
        <w:rPr>
          <w:rFonts w:ascii="Verdana" w:eastAsia="Calibri" w:hAnsi="Verdana"/>
          <w:bCs/>
          <w:sz w:val="20"/>
          <w:szCs w:val="20"/>
        </w:rPr>
        <w:t>.</w:t>
      </w:r>
    </w:p>
    <w:p w14:paraId="39BD280D" w14:textId="5426E151" w:rsidR="002C4F38" w:rsidRPr="002C4F38" w:rsidRDefault="002C4F38" w:rsidP="002C4F38">
      <w:pPr>
        <w:widowControl w:val="0"/>
        <w:autoSpaceDE w:val="0"/>
        <w:autoSpaceDN w:val="0"/>
        <w:adjustRightInd w:val="0"/>
        <w:ind w:firstLine="708"/>
        <w:rPr>
          <w:rFonts w:ascii="Verdana" w:eastAsia="Calibri" w:hAnsi="Verdana"/>
          <w:bCs/>
          <w:sz w:val="20"/>
          <w:szCs w:val="20"/>
        </w:rPr>
      </w:pPr>
      <w:r w:rsidRPr="002C4F38">
        <w:rPr>
          <w:rFonts w:ascii="Verdana" w:eastAsia="Calibri" w:hAnsi="Verdana"/>
          <w:bCs/>
          <w:sz w:val="20"/>
          <w:szCs w:val="20"/>
        </w:rPr>
        <w:t xml:space="preserve">Настоящата поръчка се възлага въз основа на икономически най-изгодната оферта. </w:t>
      </w:r>
      <w:bookmarkStart w:id="5" w:name="_Hlk489917501"/>
      <w:r w:rsidRPr="002C4F38">
        <w:rPr>
          <w:rFonts w:ascii="Verdana" w:eastAsia="Calibri" w:hAnsi="Verdana"/>
          <w:bCs/>
          <w:sz w:val="20"/>
          <w:szCs w:val="20"/>
        </w:rPr>
        <w:t xml:space="preserve">Икономически най-изгодната оферта се определя въз основа на критерий </w:t>
      </w:r>
      <w:r>
        <w:rPr>
          <w:rFonts w:ascii="Verdana" w:eastAsia="Calibri" w:hAnsi="Verdana"/>
          <w:bCs/>
          <w:sz w:val="20"/>
          <w:szCs w:val="20"/>
        </w:rPr>
        <w:t>„най-ниска цена“</w:t>
      </w:r>
      <w:bookmarkEnd w:id="5"/>
      <w:r>
        <w:rPr>
          <w:rFonts w:ascii="Verdana" w:eastAsia="Calibri" w:hAnsi="Verdana"/>
          <w:bCs/>
          <w:sz w:val="20"/>
          <w:szCs w:val="20"/>
        </w:rPr>
        <w:t>.</w:t>
      </w:r>
    </w:p>
    <w:p w14:paraId="68F8772C" w14:textId="177AB1DB" w:rsidR="008C3707" w:rsidRDefault="00E034F4" w:rsidP="002C4F38">
      <w:pPr>
        <w:keepNext/>
        <w:keepLines/>
        <w:spacing w:line="240" w:lineRule="auto"/>
        <w:ind w:left="720"/>
        <w:outlineLvl w:val="1"/>
        <w:rPr>
          <w:rFonts w:ascii="Times New Roman" w:hAnsi="Times New Roman"/>
          <w:b/>
          <w:u w:val="single"/>
          <w:lang w:eastAsia="en-US"/>
        </w:rPr>
      </w:pPr>
      <w:bookmarkStart w:id="6" w:name="_Toc482357619"/>
      <w:bookmarkStart w:id="7" w:name="_Toc505533482"/>
      <w:r w:rsidRPr="00E034F4">
        <w:rPr>
          <w:rFonts w:ascii="Times New Roman" w:hAnsi="Times New Roman"/>
          <w:b/>
          <w:u w:val="single"/>
          <w:lang w:eastAsia="en-US"/>
        </w:rPr>
        <w:t>ИЗИСКВАНИЯ КЪМ УЧАСТН</w:t>
      </w:r>
      <w:r w:rsidR="00AD468C">
        <w:rPr>
          <w:rFonts w:ascii="Times New Roman" w:hAnsi="Times New Roman"/>
          <w:b/>
          <w:u w:val="single"/>
          <w:lang w:eastAsia="en-US"/>
        </w:rPr>
        <w:t>ИЦИТЕ</w:t>
      </w:r>
      <w:r w:rsidRPr="00E034F4">
        <w:rPr>
          <w:rFonts w:ascii="Times New Roman" w:hAnsi="Times New Roman"/>
          <w:b/>
          <w:u w:val="single"/>
          <w:lang w:eastAsia="en-US"/>
        </w:rPr>
        <w:t>:</w:t>
      </w:r>
    </w:p>
    <w:p w14:paraId="73F1931A" w14:textId="3150C4DB" w:rsidR="00DD13AD" w:rsidRDefault="00DD13AD" w:rsidP="00DD13AD">
      <w:pPr>
        <w:keepNext/>
        <w:keepLines/>
        <w:spacing w:line="240" w:lineRule="auto"/>
        <w:ind w:left="720"/>
        <w:outlineLvl w:val="1"/>
        <w:rPr>
          <w:rFonts w:ascii="Times New Roman" w:hAnsi="Times New Roman"/>
          <w:b/>
          <w:u w:val="single"/>
          <w:lang w:eastAsia="en-US"/>
        </w:rPr>
      </w:pPr>
      <w:r>
        <w:rPr>
          <w:rFonts w:ascii="Times New Roman" w:hAnsi="Times New Roman"/>
          <w:b/>
          <w:u w:val="single"/>
          <w:lang w:eastAsia="en-US"/>
        </w:rPr>
        <w:t>Критерии за подбор:</w:t>
      </w:r>
    </w:p>
    <w:p w14:paraId="53A106DA" w14:textId="77777777" w:rsidR="002C4F38" w:rsidRPr="00B05E2A" w:rsidRDefault="002C4F38" w:rsidP="002C4F38">
      <w:pPr>
        <w:suppressAutoHyphens/>
        <w:spacing w:before="0" w:after="0" w:line="240" w:lineRule="auto"/>
        <w:ind w:left="720"/>
        <w:rPr>
          <w:rFonts w:ascii="Verdana" w:eastAsia="Calibri" w:hAnsi="Verdana"/>
          <w:b/>
          <w:sz w:val="20"/>
          <w:szCs w:val="20"/>
          <w:lang w:eastAsia="ar-SA"/>
        </w:rPr>
      </w:pPr>
      <w:r w:rsidRPr="00B05E2A">
        <w:rPr>
          <w:rFonts w:ascii="Verdana" w:eastAsia="Calibri" w:hAnsi="Verdana"/>
          <w:b/>
          <w:sz w:val="20"/>
          <w:szCs w:val="20"/>
          <w:lang w:eastAsia="ar-SA"/>
        </w:rPr>
        <w:t>Минимални изисквания за икономическо и финансово състояние:</w:t>
      </w:r>
    </w:p>
    <w:p w14:paraId="1E44861E" w14:textId="77777777" w:rsidR="00361ECC" w:rsidRPr="00B05E2A" w:rsidRDefault="00361ECC" w:rsidP="00361ECC">
      <w:pPr>
        <w:tabs>
          <w:tab w:val="left" w:pos="426"/>
          <w:tab w:val="left" w:pos="851"/>
        </w:tabs>
        <w:rPr>
          <w:rFonts w:ascii="Verdana" w:eastAsia="Calibri" w:hAnsi="Verdana"/>
          <w:sz w:val="20"/>
          <w:szCs w:val="20"/>
        </w:rPr>
      </w:pPr>
      <w:r w:rsidRPr="00B05E2A">
        <w:rPr>
          <w:rFonts w:ascii="Verdana" w:eastAsia="Calibri" w:hAnsi="Verdana"/>
          <w:sz w:val="20"/>
          <w:szCs w:val="20"/>
        </w:rPr>
        <w:t>Участникът следва да е реализирал минимален общ оборот през последните 3 (три) приключили финансови години, в зависимост от датата, на която са създадени или са започнали дейността си, както следва:</w:t>
      </w:r>
    </w:p>
    <w:p w14:paraId="45D9F43B" w14:textId="77777777" w:rsidR="00361ECC" w:rsidRPr="00B05E2A" w:rsidRDefault="00361ECC" w:rsidP="006E06BD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spacing w:before="0" w:after="0" w:line="240" w:lineRule="auto"/>
        <w:rPr>
          <w:rFonts w:ascii="Verdana" w:eastAsia="Calibri" w:hAnsi="Verdana"/>
          <w:sz w:val="20"/>
          <w:szCs w:val="20"/>
        </w:rPr>
      </w:pPr>
      <w:r w:rsidRPr="00B05E2A">
        <w:rPr>
          <w:rFonts w:ascii="Verdana" w:eastAsia="Calibri" w:hAnsi="Verdana"/>
          <w:sz w:val="20"/>
          <w:szCs w:val="20"/>
        </w:rPr>
        <w:t>За обособена позиция 1: 100 000.00 (сто хиляди) лева</w:t>
      </w:r>
    </w:p>
    <w:p w14:paraId="77103546" w14:textId="28F9B19A" w:rsidR="00361ECC" w:rsidRPr="00361ECC" w:rsidRDefault="00361ECC" w:rsidP="006E06BD">
      <w:pPr>
        <w:pStyle w:val="ListParagraph"/>
        <w:numPr>
          <w:ilvl w:val="0"/>
          <w:numId w:val="4"/>
        </w:numPr>
        <w:tabs>
          <w:tab w:val="left" w:pos="426"/>
          <w:tab w:val="left" w:pos="851"/>
        </w:tabs>
        <w:spacing w:before="0" w:after="0" w:line="240" w:lineRule="auto"/>
        <w:rPr>
          <w:rFonts w:ascii="Verdana" w:eastAsia="Calibri" w:hAnsi="Verdana"/>
          <w:sz w:val="20"/>
          <w:szCs w:val="20"/>
        </w:rPr>
      </w:pPr>
      <w:r w:rsidRPr="00B05E2A">
        <w:rPr>
          <w:rFonts w:ascii="Verdana" w:eastAsia="Calibri" w:hAnsi="Verdana"/>
          <w:sz w:val="20"/>
          <w:szCs w:val="20"/>
        </w:rPr>
        <w:t>За обособена позиция  2: 100 000.00 (сто хиляди) лева</w:t>
      </w:r>
    </w:p>
    <w:p w14:paraId="43D8A335" w14:textId="77777777" w:rsidR="00361ECC" w:rsidRPr="00B05E2A" w:rsidRDefault="00361ECC" w:rsidP="00361ECC">
      <w:pPr>
        <w:tabs>
          <w:tab w:val="left" w:pos="426"/>
          <w:tab w:val="left" w:pos="709"/>
          <w:tab w:val="left" w:pos="851"/>
        </w:tabs>
        <w:rPr>
          <w:rFonts w:ascii="Verdana" w:eastAsia="Calibri" w:hAnsi="Verdana"/>
          <w:sz w:val="20"/>
          <w:szCs w:val="20"/>
        </w:rPr>
      </w:pPr>
      <w:r w:rsidRPr="00B05E2A">
        <w:rPr>
          <w:rFonts w:ascii="Verdana" w:eastAsia="Calibri" w:hAnsi="Verdana"/>
          <w:sz w:val="20"/>
          <w:szCs w:val="20"/>
        </w:rPr>
        <w:tab/>
        <w:t xml:space="preserve">Когато участник подава оферта за участие за двете обособени позиции, изискването за общ оборот не се </w:t>
      </w:r>
      <w:proofErr w:type="spellStart"/>
      <w:r w:rsidRPr="00B05E2A">
        <w:rPr>
          <w:rFonts w:ascii="Verdana" w:eastAsia="Calibri" w:hAnsi="Verdana"/>
          <w:sz w:val="20"/>
          <w:szCs w:val="20"/>
        </w:rPr>
        <w:t>кумулира</w:t>
      </w:r>
      <w:proofErr w:type="spellEnd"/>
      <w:r w:rsidRPr="00B05E2A">
        <w:rPr>
          <w:rFonts w:ascii="Verdana" w:eastAsia="Calibri" w:hAnsi="Verdana"/>
          <w:sz w:val="20"/>
          <w:szCs w:val="20"/>
        </w:rPr>
        <w:t>.</w:t>
      </w:r>
    </w:p>
    <w:p w14:paraId="68FA0DEE" w14:textId="77777777" w:rsidR="00361ECC" w:rsidRPr="00B05E2A" w:rsidRDefault="00361ECC" w:rsidP="00361ECC">
      <w:pPr>
        <w:tabs>
          <w:tab w:val="left" w:pos="426"/>
          <w:tab w:val="left" w:pos="709"/>
          <w:tab w:val="left" w:pos="851"/>
        </w:tabs>
        <w:rPr>
          <w:rFonts w:ascii="Verdana" w:eastAsia="Calibri" w:hAnsi="Verdana"/>
          <w:b/>
          <w:sz w:val="20"/>
          <w:szCs w:val="20"/>
        </w:rPr>
      </w:pPr>
      <w:r w:rsidRPr="00B05E2A">
        <w:rPr>
          <w:rFonts w:ascii="Verdana" w:eastAsia="Calibri" w:hAnsi="Verdana"/>
          <w:sz w:val="20"/>
          <w:szCs w:val="20"/>
        </w:rPr>
        <w:tab/>
        <w:t>Участниците декларират наличието на изискуемия общ оборот в Част ІV, Раздел Б, т. 1а) от ЕЕДОП.</w:t>
      </w:r>
    </w:p>
    <w:p w14:paraId="6D094471" w14:textId="0E1F3BFD" w:rsidR="00361ECC" w:rsidRPr="00B05E2A" w:rsidRDefault="00361ECC" w:rsidP="00361ECC">
      <w:pPr>
        <w:tabs>
          <w:tab w:val="left" w:pos="426"/>
          <w:tab w:val="left" w:pos="709"/>
          <w:tab w:val="left" w:pos="851"/>
        </w:tabs>
        <w:rPr>
          <w:rFonts w:ascii="Verdana" w:eastAsia="Calibri" w:hAnsi="Verdana"/>
          <w:sz w:val="20"/>
          <w:szCs w:val="20"/>
        </w:rPr>
      </w:pPr>
      <w:r w:rsidRPr="00B05E2A">
        <w:rPr>
          <w:rFonts w:ascii="Verdana" w:eastAsia="Calibri" w:hAnsi="Verdana"/>
          <w:b/>
          <w:sz w:val="20"/>
          <w:szCs w:val="20"/>
        </w:rPr>
        <w:tab/>
        <w:t>Доказване:</w:t>
      </w:r>
      <w:r w:rsidRPr="00B05E2A">
        <w:rPr>
          <w:rFonts w:ascii="Verdana" w:eastAsia="Calibri" w:hAnsi="Verdana"/>
          <w:sz w:val="20"/>
          <w:szCs w:val="20"/>
        </w:rPr>
        <w:t xml:space="preserve"> При поискване от страна на Възложителя, в случаите по чл. 67, ал. 5 и ал. 6 ЗОП, както и от избрания изпълнител, изпълнение на поставеното изискване се доказва с документи по чл. 62, ал. 1, т. 3 от ЗОП - годишните финансови отчети или техни съставни части, когато публикуването им се изисква, в случай, че същите не са достъпни чрез пряк и безплатен достъп до съответната национална база данни. Когато по основателна причина участникът не е в състояние да представи поисканите от възложителя документи, той може да докаже своето </w:t>
      </w:r>
      <w:r w:rsidRPr="00B05E2A">
        <w:rPr>
          <w:rFonts w:ascii="Verdana" w:eastAsia="Calibri" w:hAnsi="Verdana"/>
          <w:sz w:val="20"/>
          <w:szCs w:val="20"/>
        </w:rPr>
        <w:lastRenderedPageBreak/>
        <w:t>икономическо и финансово състояние с помощта на всеки друг документ, който възложителят приеме за подходящ.</w:t>
      </w:r>
    </w:p>
    <w:p w14:paraId="6EB5F988" w14:textId="5925ACEB" w:rsidR="002C4F38" w:rsidRDefault="002C4F38" w:rsidP="00DD13AD">
      <w:pPr>
        <w:keepNext/>
        <w:keepLines/>
        <w:spacing w:line="240" w:lineRule="auto"/>
        <w:ind w:left="720"/>
        <w:outlineLvl w:val="1"/>
        <w:rPr>
          <w:rFonts w:ascii="Times New Roman" w:hAnsi="Times New Roman"/>
          <w:b/>
          <w:u w:val="single"/>
          <w:lang w:eastAsia="en-US"/>
        </w:rPr>
      </w:pPr>
      <w:r w:rsidRPr="00B05E2A">
        <w:rPr>
          <w:rFonts w:ascii="Verdana" w:eastAsia="Calibri" w:hAnsi="Verdana"/>
          <w:b/>
          <w:sz w:val="20"/>
          <w:szCs w:val="20"/>
          <w:lang w:eastAsia="ar-SA"/>
        </w:rPr>
        <w:t>Минимални изисквания за технически и професионални способности на участника:</w:t>
      </w:r>
    </w:p>
    <w:p w14:paraId="387DFD4B" w14:textId="6BA69751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bookmarkStart w:id="8" w:name="_Hlk35986078"/>
      <w:r w:rsidRPr="002C4F38">
        <w:rPr>
          <w:rFonts w:ascii="Verdana" w:eastAsia="Calibri" w:hAnsi="Verdana"/>
          <w:sz w:val="20"/>
          <w:szCs w:val="20"/>
        </w:rPr>
        <w:t xml:space="preserve">Участникът трябва да прилага система за управление на качество EN ISO 9001:2015 или еквивалент, с обхват на сертификация: „Организиране и/или координиране на лабораторни изследвания и/или лабораторни изпитвания“  или еквивалент. </w:t>
      </w:r>
    </w:p>
    <w:p w14:paraId="546AFDFC" w14:textId="77777777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 xml:space="preserve">Забележка: При участие на обединение, което не е юридическо лице, изискването за прилагане на система за управление на качество EN ISO 9001:2015 или еквивалент се доказва от всеки участник в обединението, който ще извършва строителство, съобразно разпределението на участието на лицата при изпълнение на дейностите, предвидено в договора за създаване на обединението. </w:t>
      </w:r>
    </w:p>
    <w:p w14:paraId="279EA149" w14:textId="77777777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>При участие на подизпълнители, същите следва да отговарят на горепосоченото изискване съобразно вида и дела от поръчката, който ще изпълняват.</w:t>
      </w:r>
    </w:p>
    <w:bookmarkEnd w:id="8"/>
    <w:p w14:paraId="0B9E4736" w14:textId="77777777" w:rsidR="002C4F38" w:rsidRPr="002C4F38" w:rsidRDefault="002C4F38" w:rsidP="002C4F38">
      <w:pPr>
        <w:ind w:firstLine="708"/>
        <w:rPr>
          <w:rFonts w:ascii="Verdana" w:eastAsia="Calibri" w:hAnsi="Verdana"/>
          <w:sz w:val="20"/>
          <w:szCs w:val="20"/>
        </w:rPr>
      </w:pPr>
      <w:r w:rsidRPr="002C4F38">
        <w:rPr>
          <w:rFonts w:ascii="Verdana" w:eastAsia="Calibri" w:hAnsi="Verdana"/>
          <w:sz w:val="20"/>
          <w:szCs w:val="20"/>
        </w:rPr>
        <w:t>Участникът попълва съответното поле от раздел Г: Стандарти за осигуряване на качеството и стандарти за екологично управление в Част IV: Критерии за подбор от Единен европейски документи за обществени поръчки (ЕЕДОП) - Образец № 2, с посочване на система за управление на качество или еквивалентни мерки, обхвата на сертификация, както и период на валидност.</w:t>
      </w:r>
    </w:p>
    <w:p w14:paraId="77C76BC3" w14:textId="77777777" w:rsidR="002C4F38" w:rsidRPr="00E034F4" w:rsidRDefault="002C4F38" w:rsidP="00DD13AD">
      <w:pPr>
        <w:keepNext/>
        <w:keepLines/>
        <w:spacing w:line="240" w:lineRule="auto"/>
        <w:ind w:left="720"/>
        <w:outlineLvl w:val="1"/>
        <w:rPr>
          <w:rFonts w:ascii="Times New Roman" w:hAnsi="Times New Roman"/>
          <w:b/>
          <w:u w:val="single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8C3707" w:rsidRPr="008C3707" w14:paraId="0BF993B2" w14:textId="77777777" w:rsidTr="00896571">
        <w:trPr>
          <w:trHeight w:val="286"/>
        </w:trPr>
        <w:tc>
          <w:tcPr>
            <w:tcW w:w="5000" w:type="pct"/>
            <w:noWrap/>
            <w:vAlign w:val="center"/>
            <w:hideMark/>
          </w:tcPr>
          <w:p w14:paraId="18B41B28" w14:textId="75544CB0" w:rsidR="008C3707" w:rsidRPr="00361ECC" w:rsidRDefault="008C3707" w:rsidP="00361ECC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/>
                <w:bCs/>
                <w:color w:val="000000"/>
                <w:lang w:eastAsia="bg-BG"/>
              </w:rPr>
              <w:t>Изисквания за личното състояние:</w:t>
            </w:r>
          </w:p>
          <w:p w14:paraId="52C06CDA" w14:textId="77777777" w:rsidR="00C769BB" w:rsidRDefault="008C3707" w:rsidP="007E7378">
            <w:pPr>
              <w:spacing w:before="0" w:after="0" w:line="240" w:lineRule="auto"/>
              <w:ind w:firstLine="492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8C3707">
              <w:rPr>
                <w:rFonts w:ascii="Times New Roman" w:hAnsi="Times New Roman"/>
                <w:bCs/>
                <w:color w:val="000000"/>
                <w:lang w:eastAsia="bg-BG"/>
              </w:rPr>
              <w:t>Възложителят отстранява от участие в процедура за възлагане на обществена поръчка участник, за когото е налице някое от  обстоятелствата по чл.54, ал.1, т.1-</w:t>
            </w:r>
            <w:r w:rsidR="007E7378">
              <w:rPr>
                <w:rFonts w:ascii="Times New Roman" w:hAnsi="Times New Roman"/>
                <w:bCs/>
                <w:color w:val="000000"/>
                <w:lang w:eastAsia="bg-BG"/>
              </w:rPr>
              <w:t xml:space="preserve">7 </w:t>
            </w:r>
            <w:r w:rsidRPr="008C3707">
              <w:rPr>
                <w:rFonts w:ascii="Times New Roman" w:hAnsi="Times New Roman"/>
                <w:bCs/>
                <w:color w:val="000000"/>
                <w:lang w:eastAsia="bg-BG"/>
              </w:rPr>
              <w:t>от ЗОП.</w:t>
            </w:r>
            <w:r w:rsidR="00C769BB">
              <w:rPr>
                <w:rFonts w:ascii="Times New Roman" w:hAnsi="Times New Roman"/>
                <w:bCs/>
                <w:color w:val="000000"/>
                <w:lang w:eastAsia="bg-BG"/>
              </w:rPr>
              <w:t xml:space="preserve"> </w:t>
            </w:r>
          </w:p>
          <w:p w14:paraId="42DCECC7" w14:textId="77777777" w:rsidR="008C3707" w:rsidRPr="00361ECC" w:rsidRDefault="00C769BB" w:rsidP="00361ECC">
            <w:pPr>
              <w:spacing w:before="0" w:after="0" w:line="240" w:lineRule="auto"/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/>
                <w:color w:val="000000"/>
                <w:lang w:eastAsia="bg-BG"/>
              </w:rPr>
              <w:t>Специфични основания за изключване:</w:t>
            </w:r>
          </w:p>
          <w:p w14:paraId="79AC9AE5" w14:textId="1B27BA4C" w:rsidR="00C769BB" w:rsidRPr="00361ECC" w:rsidRDefault="00C769BB" w:rsidP="006E06BD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Cs/>
                <w:color w:val="000000"/>
                <w:lang w:eastAsia="bg-BG"/>
              </w:rPr>
              <w:t>Участник, за когото са налице обстоятелства съгласно чл. 3, т. 8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(ЗИФОДРЮПДРКТЛТДС), освен ако не е налице изключението по чл. 4 от същия закон.</w:t>
            </w:r>
          </w:p>
          <w:p w14:paraId="63ABF178" w14:textId="03363204" w:rsidR="00C769BB" w:rsidRPr="00361ECC" w:rsidRDefault="00C769BB" w:rsidP="006E06BD">
            <w:pPr>
              <w:pStyle w:val="ListParagraph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b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Cs/>
              </w:rPr>
              <w:t>Участник, който е осъден с влязла в сила присъда, за престъпления, съгласно чл. 54, ал. 1, т. 1 от ЗОП, които  имат характер на национални (специфични) основания за изключване (</w:t>
            </w:r>
            <w:r w:rsidRPr="00361ECC">
              <w:rPr>
                <w:rFonts w:ascii="Times New Roman" w:hAnsi="Times New Roman"/>
                <w:i/>
                <w:iCs/>
              </w:rPr>
              <w:t>тези основания за изключване не се съдържат в член 57, параграф 1 от Директива 2014/24/ЕС, а само в нашето национално законодателство.)</w:t>
            </w:r>
          </w:p>
          <w:p w14:paraId="565B87AC" w14:textId="77777777" w:rsidR="00C769BB" w:rsidRPr="00C769BB" w:rsidRDefault="00C769BB" w:rsidP="003E153C">
            <w:pPr>
              <w:spacing w:before="0" w:after="0"/>
              <w:ind w:firstLine="567"/>
              <w:rPr>
                <w:rFonts w:ascii="Times New Roman" w:hAnsi="Times New Roman"/>
                <w:i/>
                <w:iCs/>
              </w:rPr>
            </w:pPr>
            <w:r w:rsidRPr="00C769BB">
              <w:rPr>
                <w:rFonts w:ascii="Times New Roman" w:hAnsi="Times New Roman"/>
                <w:b/>
                <w:bCs/>
              </w:rPr>
              <w:t>Това са осъждания за престъпления по:</w:t>
            </w:r>
          </w:p>
          <w:p w14:paraId="1070ADB9" w14:textId="77777777" w:rsidR="00C769BB" w:rsidRPr="00C769BB" w:rsidRDefault="00C769BB" w:rsidP="006E06BD">
            <w:pPr>
              <w:numPr>
                <w:ilvl w:val="0"/>
                <w:numId w:val="2"/>
              </w:numPr>
              <w:spacing w:before="0" w:after="0"/>
              <w:ind w:left="0" w:firstLine="567"/>
              <w:rPr>
                <w:rFonts w:ascii="Times New Roman" w:hAnsi="Times New Roman"/>
                <w:i/>
                <w:iCs/>
              </w:rPr>
            </w:pPr>
            <w:r w:rsidRPr="00C769BB">
              <w:rPr>
                <w:rFonts w:ascii="Times New Roman" w:hAnsi="Times New Roman"/>
                <w:b/>
                <w:bCs/>
                <w:i/>
                <w:iCs/>
              </w:rPr>
              <w:t xml:space="preserve">чл. 194-208 </w:t>
            </w:r>
            <w:r w:rsidRPr="00C769BB">
              <w:rPr>
                <w:rFonts w:ascii="Times New Roman" w:hAnsi="Times New Roman"/>
                <w:b/>
                <w:i/>
                <w:iCs/>
              </w:rPr>
              <w:t xml:space="preserve">от Наказателния кодекс (НК) </w:t>
            </w:r>
            <w:r w:rsidRPr="00C769BB">
              <w:rPr>
                <w:rFonts w:ascii="Times New Roman" w:hAnsi="Times New Roman"/>
                <w:i/>
                <w:iCs/>
              </w:rPr>
              <w:t>(престъпления против собствеността);</w:t>
            </w:r>
          </w:p>
          <w:p w14:paraId="4DC55CAF" w14:textId="77777777" w:rsidR="00C769BB" w:rsidRPr="00C769BB" w:rsidRDefault="00C769BB" w:rsidP="006E06BD">
            <w:pPr>
              <w:numPr>
                <w:ilvl w:val="0"/>
                <w:numId w:val="2"/>
              </w:numPr>
              <w:spacing w:before="0" w:after="0"/>
              <w:ind w:left="0" w:firstLine="567"/>
              <w:rPr>
                <w:rFonts w:ascii="Times New Roman" w:hAnsi="Times New Roman"/>
                <w:i/>
                <w:iCs/>
              </w:rPr>
            </w:pPr>
            <w:r w:rsidRPr="00C769BB">
              <w:rPr>
                <w:rFonts w:ascii="Times New Roman" w:hAnsi="Times New Roman"/>
                <w:b/>
                <w:bCs/>
                <w:i/>
                <w:iCs/>
              </w:rPr>
              <w:t>чл. 213а -217</w:t>
            </w:r>
            <w:r w:rsidRPr="00C769BB">
              <w:rPr>
                <w:rFonts w:ascii="Times New Roman" w:hAnsi="Times New Roman"/>
                <w:b/>
                <w:i/>
                <w:iCs/>
              </w:rPr>
              <w:t xml:space="preserve"> от НК </w:t>
            </w:r>
            <w:r w:rsidRPr="00C769BB">
              <w:rPr>
                <w:rFonts w:ascii="Times New Roman" w:hAnsi="Times New Roman"/>
                <w:i/>
                <w:iCs/>
              </w:rPr>
              <w:t>(изнудване, вещно укривателство, злоупотреба на доверие);</w:t>
            </w:r>
          </w:p>
          <w:p w14:paraId="2781948B" w14:textId="77777777" w:rsidR="00C769BB" w:rsidRPr="00C769BB" w:rsidRDefault="00C769BB" w:rsidP="006E06BD">
            <w:pPr>
              <w:numPr>
                <w:ilvl w:val="0"/>
                <w:numId w:val="2"/>
              </w:numPr>
              <w:spacing w:before="0" w:after="0"/>
              <w:ind w:left="0" w:firstLine="567"/>
              <w:rPr>
                <w:rFonts w:ascii="Times New Roman" w:hAnsi="Times New Roman"/>
                <w:i/>
                <w:iCs/>
              </w:rPr>
            </w:pPr>
            <w:r w:rsidRPr="00C769BB">
              <w:rPr>
                <w:rFonts w:ascii="Times New Roman" w:hAnsi="Times New Roman"/>
                <w:b/>
                <w:bCs/>
                <w:i/>
                <w:iCs/>
              </w:rPr>
              <w:t xml:space="preserve">чл. 219-252 от НК </w:t>
            </w:r>
            <w:r w:rsidRPr="00C769BB">
              <w:rPr>
                <w:rFonts w:ascii="Times New Roman" w:hAnsi="Times New Roman"/>
                <w:i/>
                <w:iCs/>
              </w:rPr>
              <w:t xml:space="preserve">(престъпления против стопанството) и </w:t>
            </w:r>
          </w:p>
          <w:p w14:paraId="312C72B6" w14:textId="77777777" w:rsidR="00C769BB" w:rsidRPr="00C769BB" w:rsidRDefault="00C769BB" w:rsidP="006E06BD">
            <w:pPr>
              <w:numPr>
                <w:ilvl w:val="0"/>
                <w:numId w:val="2"/>
              </w:numPr>
              <w:spacing w:before="0" w:after="0"/>
              <w:ind w:left="0" w:firstLine="567"/>
              <w:rPr>
                <w:rFonts w:ascii="Times New Roman" w:hAnsi="Times New Roman"/>
                <w:i/>
                <w:iCs/>
              </w:rPr>
            </w:pPr>
            <w:r w:rsidRPr="00C769BB">
              <w:rPr>
                <w:rFonts w:ascii="Times New Roman" w:hAnsi="Times New Roman"/>
                <w:b/>
                <w:bCs/>
                <w:i/>
                <w:iCs/>
              </w:rPr>
              <w:t xml:space="preserve">чл. 254а-260 от НК </w:t>
            </w:r>
            <w:r w:rsidRPr="00C769BB">
              <w:rPr>
                <w:rFonts w:ascii="Times New Roman" w:hAnsi="Times New Roman"/>
                <w:i/>
                <w:iCs/>
              </w:rPr>
              <w:t>(престъпления против данъчната, финансовата и осигурителна система).</w:t>
            </w:r>
          </w:p>
          <w:p w14:paraId="1A72B1B4" w14:textId="1ABB76C0" w:rsidR="00C769BB" w:rsidRPr="00361ECC" w:rsidRDefault="00C769BB" w:rsidP="006E06B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Cs/>
                <w:color w:val="000000"/>
                <w:lang w:eastAsia="bg-BG"/>
              </w:rPr>
              <w:t>Наличие на свързаност по смисъла на пар. 2, т. 45 от ДР на ЗОП между участници в конкретна процедура.</w:t>
            </w:r>
          </w:p>
          <w:p w14:paraId="557BDB54" w14:textId="046AD1CA" w:rsidR="00C769BB" w:rsidRPr="00361ECC" w:rsidRDefault="00C769BB" w:rsidP="006E06B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Cs/>
                <w:color w:val="000000"/>
                <w:lang w:eastAsia="bg-BG"/>
              </w:rPr>
              <w:t>Извършени нарушения по чл. 61, ал. 1, чл. 62, ал. 1 или 3, чл. 63, ал. 1 или 2, чл. 228, ал. 3 от Кодекса на труда.</w:t>
            </w:r>
          </w:p>
          <w:p w14:paraId="16F6502E" w14:textId="3202380C" w:rsidR="00C769BB" w:rsidRPr="00361ECC" w:rsidRDefault="00C769BB" w:rsidP="006E06B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Cs/>
                <w:color w:val="000000"/>
                <w:lang w:eastAsia="bg-BG"/>
              </w:rPr>
              <w:t xml:space="preserve">Обстоятелства по чл. 69 от Закона за противодействие на корупцията и за </w:t>
            </w:r>
            <w:r w:rsidRPr="00361ECC">
              <w:rPr>
                <w:rFonts w:ascii="Times New Roman" w:hAnsi="Times New Roman"/>
                <w:bCs/>
                <w:color w:val="000000"/>
                <w:lang w:eastAsia="bg-BG"/>
              </w:rPr>
              <w:lastRenderedPageBreak/>
              <w:t>отнемане на незаконно придобитото имущество.</w:t>
            </w:r>
          </w:p>
          <w:p w14:paraId="165776E5" w14:textId="6331E1C2" w:rsidR="00C769BB" w:rsidRPr="00361ECC" w:rsidRDefault="00C769BB" w:rsidP="006E06BD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  <w:r w:rsidRPr="00361ECC">
              <w:rPr>
                <w:rFonts w:ascii="Times New Roman" w:hAnsi="Times New Roman"/>
                <w:bCs/>
                <w:color w:val="000000"/>
                <w:lang w:eastAsia="bg-BG"/>
              </w:rPr>
              <w:t>Извършени нарушения по чл. 13, ал. 1 от Закона за трудовата миграция и трудовата мобилност.</w:t>
            </w:r>
          </w:p>
          <w:p w14:paraId="3C9F0638" w14:textId="77777777" w:rsidR="00C769BB" w:rsidRDefault="00E45B10" w:rsidP="00E45B10">
            <w:pPr>
              <w:spacing w:before="0" w:after="0" w:line="240" w:lineRule="auto"/>
              <w:rPr>
                <w:rFonts w:ascii="Times New Roman" w:hAnsi="Times New Roman"/>
                <w:b/>
                <w:color w:val="000000"/>
                <w:lang w:eastAsia="bg-BG"/>
              </w:rPr>
            </w:pPr>
            <w:r>
              <w:rPr>
                <w:rFonts w:ascii="Times New Roman" w:hAnsi="Times New Roman"/>
                <w:b/>
                <w:color w:val="000000"/>
                <w:lang w:eastAsia="bg-BG"/>
              </w:rPr>
              <w:t xml:space="preserve">За наличието/липсата на посочените обстоятелства се попълват съответните раздели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bg-BG"/>
              </w:rPr>
              <w:t>еЕЕДОП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bg-BG"/>
              </w:rPr>
              <w:t>.</w:t>
            </w:r>
          </w:p>
          <w:p w14:paraId="3D47F11C" w14:textId="31D7BDF4" w:rsidR="00361ECC" w:rsidRPr="00C769BB" w:rsidRDefault="00361ECC" w:rsidP="00E45B10">
            <w:pPr>
              <w:spacing w:before="0" w:after="0" w:line="240" w:lineRule="auto"/>
              <w:rPr>
                <w:rFonts w:ascii="Times New Roman" w:hAnsi="Times New Roman"/>
                <w:b/>
                <w:color w:val="000000"/>
                <w:lang w:eastAsia="bg-BG"/>
              </w:rPr>
            </w:pPr>
          </w:p>
        </w:tc>
      </w:tr>
      <w:tr w:rsidR="008C3707" w:rsidRPr="008C3707" w14:paraId="257A88FF" w14:textId="77777777" w:rsidTr="00714743">
        <w:trPr>
          <w:trHeight w:val="95"/>
        </w:trPr>
        <w:tc>
          <w:tcPr>
            <w:tcW w:w="5000" w:type="pct"/>
            <w:noWrap/>
            <w:vAlign w:val="center"/>
            <w:hideMark/>
          </w:tcPr>
          <w:p w14:paraId="00A3C2F3" w14:textId="03E26981" w:rsidR="008C3707" w:rsidRPr="008C3707" w:rsidRDefault="008C3707" w:rsidP="00FD3093">
            <w:pPr>
              <w:spacing w:before="0" w:after="200" w:line="240" w:lineRule="auto"/>
              <w:jc w:val="left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</w:tr>
      <w:tr w:rsidR="008C3707" w:rsidRPr="008C3707" w14:paraId="70337E88" w14:textId="77777777" w:rsidTr="00714743">
        <w:trPr>
          <w:trHeight w:val="300"/>
        </w:trPr>
        <w:tc>
          <w:tcPr>
            <w:tcW w:w="5000" w:type="pct"/>
            <w:noWrap/>
            <w:vAlign w:val="center"/>
            <w:hideMark/>
          </w:tcPr>
          <w:p w14:paraId="080B3EBD" w14:textId="7100D811" w:rsidR="00DD13AD" w:rsidRPr="00361ECC" w:rsidRDefault="00EC7161" w:rsidP="00361ECC">
            <w:pPr>
              <w:tabs>
                <w:tab w:val="left" w:pos="360"/>
                <w:tab w:val="left" w:pos="1276"/>
              </w:tabs>
              <w:spacing w:before="0" w:after="200" w:line="240" w:lineRule="auto"/>
              <w:ind w:right="52"/>
              <w:rPr>
                <w:rFonts w:ascii="Times New Roman" w:hAnsi="Times New Roman"/>
                <w:b/>
                <w:bCs/>
                <w:u w:val="single"/>
                <w:lang w:eastAsia="bg-BG"/>
              </w:rPr>
            </w:pPr>
            <w:r w:rsidRPr="00361ECC">
              <w:rPr>
                <w:rFonts w:ascii="Times New Roman" w:hAnsi="Times New Roman"/>
                <w:b/>
                <w:bCs/>
                <w:u w:val="single"/>
                <w:lang w:eastAsia="bg-BG"/>
              </w:rPr>
              <w:t>УСЛОВИЯ ЗА ИЗПЪЛНЕНИЕ НА ПОРЪЧКАТА:</w:t>
            </w:r>
          </w:p>
          <w:p w14:paraId="50D517A4" w14:textId="77777777" w:rsidR="00361ECC" w:rsidRPr="00361ECC" w:rsidRDefault="007B5147" w:rsidP="00361ECC">
            <w:pPr>
              <w:suppressAutoHyphens/>
              <w:ind w:firstLine="709"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 xml:space="preserve">В приложения проект на договор е описана последователността и особеностите във връзка с изпълнението на договора. </w:t>
            </w:r>
            <w:r w:rsidR="00361ECC" w:rsidRPr="00361ECC">
              <w:rPr>
                <w:rFonts w:ascii="Times New Roman" w:hAnsi="Times New Roman"/>
                <w:lang w:eastAsia="bg-BG"/>
              </w:rPr>
              <w:t xml:space="preserve">1) Участниците следва да разполагат с възможността да осигурят (или самият участник да бъде) акредитирани провайдери на лабораторни сравнения и изпитвания за пригодност: </w:t>
            </w:r>
          </w:p>
          <w:p w14:paraId="19F8DCB0" w14:textId="77777777" w:rsidR="00361ECC" w:rsidRPr="00361ECC" w:rsidRDefault="00361ECC" w:rsidP="00361ECC">
            <w:pPr>
              <w:suppressAutoHyphens/>
              <w:ind w:firstLine="709"/>
              <w:rPr>
                <w:rFonts w:ascii="Times New Roman" w:hAnsi="Times New Roman"/>
                <w:lang w:eastAsia="bg-BG"/>
              </w:rPr>
            </w:pPr>
            <w:r w:rsidRPr="00361ECC">
              <w:rPr>
                <w:rFonts w:ascii="Times New Roman" w:hAnsi="Times New Roman"/>
                <w:lang w:eastAsia="bg-BG"/>
              </w:rPr>
              <w:t>За обособена позиция № 1 – 1) храни от растителен и животински произход, 2) вина, спиртни и/или безалкохолни напитки; 3) химия при отпадъчни води и/или течни горива (нефтопродукти); 4)строителни материали – варовик и/или гипс; 5) текстил, текстилни изделия – текстилни детски играчки.</w:t>
            </w:r>
          </w:p>
          <w:p w14:paraId="434D6671" w14:textId="14D861C2" w:rsidR="00DD13AD" w:rsidRDefault="00361ECC" w:rsidP="00361ECC">
            <w:pPr>
              <w:suppressAutoHyphens/>
              <w:ind w:firstLine="709"/>
              <w:rPr>
                <w:rFonts w:ascii="Times New Roman" w:hAnsi="Times New Roman"/>
                <w:lang w:eastAsia="bg-BG"/>
              </w:rPr>
            </w:pPr>
            <w:r w:rsidRPr="00361ECC">
              <w:rPr>
                <w:rFonts w:ascii="Times New Roman" w:hAnsi="Times New Roman"/>
                <w:lang w:eastAsia="bg-BG"/>
              </w:rPr>
              <w:t>За обособена позиция № 2 – 1) геометрични величини, 2) физикохимични величини, 3) електрически и 4) физични величини.</w:t>
            </w:r>
          </w:p>
          <w:p w14:paraId="0A143BB2" w14:textId="77777777" w:rsidR="002C4D0B" w:rsidRDefault="002C4D0B" w:rsidP="002C4D0B">
            <w:pPr>
              <w:tabs>
                <w:tab w:val="left" w:pos="360"/>
                <w:tab w:val="left" w:pos="1276"/>
              </w:tabs>
              <w:spacing w:before="0" w:after="200" w:line="240" w:lineRule="auto"/>
              <w:ind w:right="52" w:firstLine="375"/>
              <w:contextualSpacing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>Към изпълнението на поръчката с оглед сключения договор с определения изпълнител се прилагат всички правила на ЗОП и приложимите такива на търговското и гражданското законодателство.</w:t>
            </w:r>
          </w:p>
          <w:p w14:paraId="66EEBF73" w14:textId="53A6AC04" w:rsidR="00BC1C58" w:rsidRPr="002C4D0B" w:rsidRDefault="00BC1C58" w:rsidP="002C4D0B">
            <w:pPr>
              <w:tabs>
                <w:tab w:val="left" w:pos="360"/>
                <w:tab w:val="left" w:pos="1276"/>
              </w:tabs>
              <w:spacing w:before="0" w:after="200" w:line="240" w:lineRule="auto"/>
              <w:ind w:right="52" w:firstLine="375"/>
              <w:contextualSpacing/>
              <w:rPr>
                <w:rFonts w:ascii="Times New Roman" w:hAnsi="Times New Roman"/>
                <w:lang w:eastAsia="bg-BG"/>
              </w:rPr>
            </w:pPr>
            <w:r>
              <w:rPr>
                <w:rFonts w:ascii="Times New Roman" w:hAnsi="Times New Roman"/>
                <w:lang w:eastAsia="bg-BG"/>
              </w:rPr>
              <w:t xml:space="preserve">Предложеният срок за изпълнение не може да надвишава </w:t>
            </w:r>
            <w:r w:rsidR="00361ECC">
              <w:rPr>
                <w:rFonts w:ascii="Times New Roman" w:hAnsi="Times New Roman"/>
                <w:lang w:eastAsia="bg-BG"/>
              </w:rPr>
              <w:t>6</w:t>
            </w:r>
            <w:r>
              <w:rPr>
                <w:rFonts w:ascii="Times New Roman" w:hAnsi="Times New Roman"/>
                <w:lang w:eastAsia="bg-BG"/>
              </w:rPr>
              <w:t>0 календарни дни.</w:t>
            </w:r>
          </w:p>
        </w:tc>
      </w:tr>
      <w:bookmarkEnd w:id="6"/>
      <w:bookmarkEnd w:id="7"/>
    </w:tbl>
    <w:p w14:paraId="64E73B30" w14:textId="15D69747" w:rsidR="0027725C" w:rsidRDefault="0027725C" w:rsidP="002211A2">
      <w:pPr>
        <w:pStyle w:val="Footer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p w14:paraId="6476356A" w14:textId="25EC0D4F" w:rsidR="0027725C" w:rsidRDefault="0027725C" w:rsidP="002211A2">
      <w:pPr>
        <w:pStyle w:val="Footer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p w14:paraId="6BC75575" w14:textId="59264776" w:rsidR="0027725C" w:rsidRDefault="0027725C" w:rsidP="002211A2">
      <w:pPr>
        <w:pStyle w:val="Footer"/>
        <w:tabs>
          <w:tab w:val="left" w:pos="8505"/>
        </w:tabs>
        <w:ind w:right="83"/>
        <w:rPr>
          <w:rFonts w:ascii="Times New Roman" w:eastAsia="Trebuchet MS" w:hAnsi="Times New Roman"/>
          <w:i/>
        </w:rPr>
      </w:pPr>
    </w:p>
    <w:p w14:paraId="7B7E503B" w14:textId="1046DC6C" w:rsidR="00D13CE2" w:rsidRPr="00A554F8" w:rsidRDefault="00D13CE2" w:rsidP="00D13CE2">
      <w:pPr>
        <w:pStyle w:val="Footer"/>
        <w:tabs>
          <w:tab w:val="left" w:pos="8505"/>
        </w:tabs>
        <w:ind w:right="83" w:firstLine="720"/>
        <w:rPr>
          <w:rFonts w:ascii="Times New Roman" w:eastAsia="Trebuchet MS" w:hAnsi="Times New Roman"/>
          <w:iCs/>
        </w:rPr>
      </w:pPr>
    </w:p>
    <w:sectPr w:rsidR="00D13CE2" w:rsidRPr="00A554F8" w:rsidSect="00E47CB1">
      <w:footerReference w:type="default" r:id="rId9"/>
      <w:footerReference w:type="first" r:id="rId10"/>
      <w:pgSz w:w="11906" w:h="16838"/>
      <w:pgMar w:top="709" w:right="1417" w:bottom="1080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D942C" w14:textId="77777777" w:rsidR="00B5514A" w:rsidRDefault="00B5514A" w:rsidP="00C04168">
      <w:r>
        <w:separator/>
      </w:r>
    </w:p>
  </w:endnote>
  <w:endnote w:type="continuationSeparator" w:id="0">
    <w:p w14:paraId="396EB891" w14:textId="77777777" w:rsidR="00B5514A" w:rsidRDefault="00B5514A" w:rsidP="00C0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0517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0EF2AC" w14:textId="03EE9EDB" w:rsidR="00540430" w:rsidRPr="00540430" w:rsidRDefault="00540430" w:rsidP="00E47CB1">
            <w:pPr>
              <w:pStyle w:val="Footer"/>
              <w:spacing w:before="0"/>
              <w:jc w:val="right"/>
              <w:rPr>
                <w:rFonts w:ascii="Times New Roman" w:hAnsi="Times New Roman"/>
              </w:rPr>
            </w:pPr>
            <w:r w:rsidRPr="00540430">
              <w:rPr>
                <w:rFonts w:ascii="Times New Roman" w:hAnsi="Times New Roman"/>
              </w:rPr>
              <w:t xml:space="preserve">Страница </w:t>
            </w:r>
            <w:r w:rsidRPr="00540430">
              <w:rPr>
                <w:rFonts w:ascii="Times New Roman" w:hAnsi="Times New Roman"/>
                <w:b/>
                <w:bCs/>
              </w:rPr>
              <w:fldChar w:fldCharType="begin"/>
            </w:r>
            <w:r w:rsidRPr="00540430">
              <w:rPr>
                <w:rFonts w:ascii="Times New Roman" w:hAnsi="Times New Roman"/>
                <w:b/>
                <w:bCs/>
              </w:rPr>
              <w:instrText>PAGE</w:instrText>
            </w:r>
            <w:r w:rsidRPr="00540430">
              <w:rPr>
                <w:rFonts w:ascii="Times New Roman" w:hAnsi="Times New Roman"/>
                <w:b/>
                <w:bCs/>
              </w:rPr>
              <w:fldChar w:fldCharType="separate"/>
            </w:r>
            <w:r w:rsidR="004D7180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40430">
              <w:rPr>
                <w:rFonts w:ascii="Times New Roman" w:hAnsi="Times New Roman"/>
                <w:b/>
                <w:bCs/>
              </w:rPr>
              <w:fldChar w:fldCharType="end"/>
            </w:r>
            <w:r w:rsidRPr="00540430">
              <w:rPr>
                <w:rFonts w:ascii="Times New Roman" w:hAnsi="Times New Roman"/>
              </w:rPr>
              <w:t xml:space="preserve"> от </w:t>
            </w:r>
            <w:r w:rsidRPr="00540430">
              <w:rPr>
                <w:rFonts w:ascii="Times New Roman" w:hAnsi="Times New Roman"/>
                <w:b/>
                <w:bCs/>
              </w:rPr>
              <w:fldChar w:fldCharType="begin"/>
            </w:r>
            <w:r w:rsidRPr="00540430">
              <w:rPr>
                <w:rFonts w:ascii="Times New Roman" w:hAnsi="Times New Roman"/>
                <w:b/>
                <w:bCs/>
              </w:rPr>
              <w:instrText>NUMPAGES</w:instrText>
            </w:r>
            <w:r w:rsidRPr="00540430">
              <w:rPr>
                <w:rFonts w:ascii="Times New Roman" w:hAnsi="Times New Roman"/>
                <w:b/>
                <w:bCs/>
              </w:rPr>
              <w:fldChar w:fldCharType="separate"/>
            </w:r>
            <w:r w:rsidR="004D7180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540430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73FE82E0" w14:textId="10448780" w:rsidR="00AC70F5" w:rsidRPr="000B4FC7" w:rsidRDefault="00AC70F5" w:rsidP="000B4FC7">
    <w:pPr>
      <w:tabs>
        <w:tab w:val="center" w:pos="4536"/>
        <w:tab w:val="right" w:pos="9072"/>
      </w:tabs>
      <w:spacing w:before="0" w:after="160" w:line="300" w:lineRule="auto"/>
      <w:jc w:val="center"/>
      <w:rPr>
        <w:rFonts w:ascii="Times New Roman" w:hAnsi="Times New Roman"/>
        <w:sz w:val="22"/>
        <w:szCs w:val="22"/>
        <w:lang w:eastAsia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18"/>
        <w:szCs w:val="18"/>
        <w:lang w:eastAsia="bg-BG"/>
      </w:rPr>
      <w:id w:val="1247846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  <w:szCs w:val="22"/>
      </w:rPr>
    </w:sdtEndPr>
    <w:sdtContent>
      <w:p w14:paraId="7EB17D48" w14:textId="602DB59A" w:rsidR="00160A56" w:rsidRDefault="00160A56" w:rsidP="00160A56">
        <w:pPr>
          <w:tabs>
            <w:tab w:val="center" w:pos="4536"/>
            <w:tab w:val="right" w:pos="9072"/>
          </w:tabs>
          <w:spacing w:before="0" w:after="0" w:line="300" w:lineRule="auto"/>
          <w:jc w:val="center"/>
        </w:pPr>
      </w:p>
      <w:p w14:paraId="42590B68" w14:textId="3EE81254" w:rsidR="00AC70F5" w:rsidRPr="000B4FC7" w:rsidRDefault="00B5514A" w:rsidP="000B4FC7">
        <w:pPr>
          <w:tabs>
            <w:tab w:val="center" w:pos="4536"/>
            <w:tab w:val="right" w:pos="9072"/>
          </w:tabs>
          <w:spacing w:before="0" w:after="160" w:line="300" w:lineRule="auto"/>
          <w:jc w:val="center"/>
          <w:rPr>
            <w:rFonts w:ascii="Times New Roman" w:hAnsi="Times New Roman"/>
            <w:sz w:val="22"/>
            <w:szCs w:val="22"/>
            <w:lang w:eastAsia="bg-BG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D6975" w14:textId="77777777" w:rsidR="00B5514A" w:rsidRDefault="00B5514A" w:rsidP="00C04168">
      <w:r>
        <w:separator/>
      </w:r>
    </w:p>
  </w:footnote>
  <w:footnote w:type="continuationSeparator" w:id="0">
    <w:p w14:paraId="6EA2AA2E" w14:textId="77777777" w:rsidR="00B5514A" w:rsidRDefault="00B5514A" w:rsidP="00C04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27B6"/>
    <w:multiLevelType w:val="hybridMultilevel"/>
    <w:tmpl w:val="67909A18"/>
    <w:lvl w:ilvl="0" w:tplc="75360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CD207D3"/>
    <w:multiLevelType w:val="hybridMultilevel"/>
    <w:tmpl w:val="CEDAF75C"/>
    <w:lvl w:ilvl="0" w:tplc="727C8C44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7C61"/>
    <w:multiLevelType w:val="hybridMultilevel"/>
    <w:tmpl w:val="491E57AC"/>
    <w:lvl w:ilvl="0" w:tplc="06B810F8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0765F"/>
    <w:multiLevelType w:val="hybridMultilevel"/>
    <w:tmpl w:val="F9AE3890"/>
    <w:lvl w:ilvl="0" w:tplc="FCEA3AB8">
      <w:start w:val="3"/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45"/>
    <w:rsid w:val="0001210C"/>
    <w:rsid w:val="00022C2C"/>
    <w:rsid w:val="00035031"/>
    <w:rsid w:val="0003631F"/>
    <w:rsid w:val="00037455"/>
    <w:rsid w:val="00037CED"/>
    <w:rsid w:val="00045572"/>
    <w:rsid w:val="00052712"/>
    <w:rsid w:val="00063BB4"/>
    <w:rsid w:val="0008083D"/>
    <w:rsid w:val="00087D89"/>
    <w:rsid w:val="00092669"/>
    <w:rsid w:val="000A26CC"/>
    <w:rsid w:val="000A32CC"/>
    <w:rsid w:val="000A56B6"/>
    <w:rsid w:val="000A7C2B"/>
    <w:rsid w:val="000B4D1B"/>
    <w:rsid w:val="000B4FC7"/>
    <w:rsid w:val="000C2464"/>
    <w:rsid w:val="000D13A2"/>
    <w:rsid w:val="000D48B6"/>
    <w:rsid w:val="000D6567"/>
    <w:rsid w:val="000E5B4D"/>
    <w:rsid w:val="000F2CF2"/>
    <w:rsid w:val="000F2EE3"/>
    <w:rsid w:val="00106522"/>
    <w:rsid w:val="00110946"/>
    <w:rsid w:val="00112AC6"/>
    <w:rsid w:val="001229B9"/>
    <w:rsid w:val="001327DF"/>
    <w:rsid w:val="001342DA"/>
    <w:rsid w:val="00137FB7"/>
    <w:rsid w:val="00140625"/>
    <w:rsid w:val="00143DD1"/>
    <w:rsid w:val="0015257A"/>
    <w:rsid w:val="001532B1"/>
    <w:rsid w:val="00153F0C"/>
    <w:rsid w:val="00157E8F"/>
    <w:rsid w:val="00160A56"/>
    <w:rsid w:val="001744AA"/>
    <w:rsid w:val="00176613"/>
    <w:rsid w:val="001803B5"/>
    <w:rsid w:val="001825BD"/>
    <w:rsid w:val="00184ABC"/>
    <w:rsid w:val="0019132E"/>
    <w:rsid w:val="001931D7"/>
    <w:rsid w:val="00194115"/>
    <w:rsid w:val="00194691"/>
    <w:rsid w:val="001A12CA"/>
    <w:rsid w:val="001A335F"/>
    <w:rsid w:val="001A4D61"/>
    <w:rsid w:val="001B0E77"/>
    <w:rsid w:val="001B3872"/>
    <w:rsid w:val="001B54DA"/>
    <w:rsid w:val="001B5AC2"/>
    <w:rsid w:val="001B7082"/>
    <w:rsid w:val="001C1153"/>
    <w:rsid w:val="001C4CEC"/>
    <w:rsid w:val="001C56CE"/>
    <w:rsid w:val="001C6F58"/>
    <w:rsid w:val="001C7AAA"/>
    <w:rsid w:val="001D3762"/>
    <w:rsid w:val="001D54B5"/>
    <w:rsid w:val="001D638D"/>
    <w:rsid w:val="001E71B8"/>
    <w:rsid w:val="001F168C"/>
    <w:rsid w:val="001F1BF7"/>
    <w:rsid w:val="001F37C2"/>
    <w:rsid w:val="001F41FA"/>
    <w:rsid w:val="001F6FF3"/>
    <w:rsid w:val="001F7D07"/>
    <w:rsid w:val="00206B01"/>
    <w:rsid w:val="0021068D"/>
    <w:rsid w:val="00216B0A"/>
    <w:rsid w:val="002211A2"/>
    <w:rsid w:val="002350B3"/>
    <w:rsid w:val="0023671A"/>
    <w:rsid w:val="002367B1"/>
    <w:rsid w:val="002439BC"/>
    <w:rsid w:val="00243AE5"/>
    <w:rsid w:val="00246C3D"/>
    <w:rsid w:val="00252639"/>
    <w:rsid w:val="00253B4D"/>
    <w:rsid w:val="00255895"/>
    <w:rsid w:val="0026054F"/>
    <w:rsid w:val="0026064A"/>
    <w:rsid w:val="002649E0"/>
    <w:rsid w:val="002713A4"/>
    <w:rsid w:val="00277240"/>
    <w:rsid w:val="0027725C"/>
    <w:rsid w:val="0029321F"/>
    <w:rsid w:val="00295632"/>
    <w:rsid w:val="002A2840"/>
    <w:rsid w:val="002A5121"/>
    <w:rsid w:val="002A600F"/>
    <w:rsid w:val="002A69ED"/>
    <w:rsid w:val="002B421D"/>
    <w:rsid w:val="002C0743"/>
    <w:rsid w:val="002C3D9A"/>
    <w:rsid w:val="002C4D0B"/>
    <w:rsid w:val="002C4F38"/>
    <w:rsid w:val="002C5A32"/>
    <w:rsid w:val="002D1374"/>
    <w:rsid w:val="002D464D"/>
    <w:rsid w:val="002D4D3E"/>
    <w:rsid w:val="002E0DC1"/>
    <w:rsid w:val="002E4883"/>
    <w:rsid w:val="002F1064"/>
    <w:rsid w:val="002F55AE"/>
    <w:rsid w:val="002F7858"/>
    <w:rsid w:val="00301B49"/>
    <w:rsid w:val="00302DFA"/>
    <w:rsid w:val="003037C0"/>
    <w:rsid w:val="00304810"/>
    <w:rsid w:val="0030666B"/>
    <w:rsid w:val="00321D7D"/>
    <w:rsid w:val="0032788A"/>
    <w:rsid w:val="003278B5"/>
    <w:rsid w:val="0033456C"/>
    <w:rsid w:val="003356EE"/>
    <w:rsid w:val="00347117"/>
    <w:rsid w:val="00353D2C"/>
    <w:rsid w:val="00355BC0"/>
    <w:rsid w:val="00360DFC"/>
    <w:rsid w:val="00360EBD"/>
    <w:rsid w:val="00361ECC"/>
    <w:rsid w:val="003652BF"/>
    <w:rsid w:val="003756D3"/>
    <w:rsid w:val="0037669F"/>
    <w:rsid w:val="0038100D"/>
    <w:rsid w:val="00381C2B"/>
    <w:rsid w:val="003910B0"/>
    <w:rsid w:val="00393741"/>
    <w:rsid w:val="003968C3"/>
    <w:rsid w:val="003A349A"/>
    <w:rsid w:val="003A6D9F"/>
    <w:rsid w:val="003B3644"/>
    <w:rsid w:val="003B46DA"/>
    <w:rsid w:val="003D1109"/>
    <w:rsid w:val="003D1F89"/>
    <w:rsid w:val="003E153C"/>
    <w:rsid w:val="003E2754"/>
    <w:rsid w:val="003F1F32"/>
    <w:rsid w:val="00404492"/>
    <w:rsid w:val="0041534E"/>
    <w:rsid w:val="00425CE6"/>
    <w:rsid w:val="004277B7"/>
    <w:rsid w:val="0044075A"/>
    <w:rsid w:val="00452BC7"/>
    <w:rsid w:val="00453A98"/>
    <w:rsid w:val="00455441"/>
    <w:rsid w:val="00455BE3"/>
    <w:rsid w:val="004571AB"/>
    <w:rsid w:val="00463672"/>
    <w:rsid w:val="00463F0F"/>
    <w:rsid w:val="00464497"/>
    <w:rsid w:val="00465E10"/>
    <w:rsid w:val="00480118"/>
    <w:rsid w:val="00482E29"/>
    <w:rsid w:val="00482E99"/>
    <w:rsid w:val="00482F58"/>
    <w:rsid w:val="004843FB"/>
    <w:rsid w:val="00485D44"/>
    <w:rsid w:val="004906F8"/>
    <w:rsid w:val="0049646D"/>
    <w:rsid w:val="004A077D"/>
    <w:rsid w:val="004A097C"/>
    <w:rsid w:val="004A2587"/>
    <w:rsid w:val="004A3B08"/>
    <w:rsid w:val="004A62D6"/>
    <w:rsid w:val="004B0353"/>
    <w:rsid w:val="004C4437"/>
    <w:rsid w:val="004D0B3F"/>
    <w:rsid w:val="004D7180"/>
    <w:rsid w:val="004E2AD1"/>
    <w:rsid w:val="004E330F"/>
    <w:rsid w:val="004E3DE6"/>
    <w:rsid w:val="004E6738"/>
    <w:rsid w:val="004F28F7"/>
    <w:rsid w:val="004F46D0"/>
    <w:rsid w:val="00504D21"/>
    <w:rsid w:val="00507E16"/>
    <w:rsid w:val="00507F9F"/>
    <w:rsid w:val="005123A0"/>
    <w:rsid w:val="00516743"/>
    <w:rsid w:val="005209CC"/>
    <w:rsid w:val="005244A9"/>
    <w:rsid w:val="005251CF"/>
    <w:rsid w:val="005256D1"/>
    <w:rsid w:val="00540430"/>
    <w:rsid w:val="005428C7"/>
    <w:rsid w:val="00545016"/>
    <w:rsid w:val="00545207"/>
    <w:rsid w:val="00545532"/>
    <w:rsid w:val="00546D69"/>
    <w:rsid w:val="00551B07"/>
    <w:rsid w:val="00553F96"/>
    <w:rsid w:val="0055630A"/>
    <w:rsid w:val="00560179"/>
    <w:rsid w:val="00561D48"/>
    <w:rsid w:val="005666C4"/>
    <w:rsid w:val="00566C4C"/>
    <w:rsid w:val="00567DFF"/>
    <w:rsid w:val="0057635A"/>
    <w:rsid w:val="005777AA"/>
    <w:rsid w:val="00591104"/>
    <w:rsid w:val="005955F7"/>
    <w:rsid w:val="00595C2A"/>
    <w:rsid w:val="005A22E5"/>
    <w:rsid w:val="005A303A"/>
    <w:rsid w:val="005B212E"/>
    <w:rsid w:val="005B4F9E"/>
    <w:rsid w:val="005B7C0F"/>
    <w:rsid w:val="005C497C"/>
    <w:rsid w:val="005D445E"/>
    <w:rsid w:val="005F256D"/>
    <w:rsid w:val="005F7389"/>
    <w:rsid w:val="005F7D68"/>
    <w:rsid w:val="006072BB"/>
    <w:rsid w:val="00607B7C"/>
    <w:rsid w:val="00607C10"/>
    <w:rsid w:val="00634D93"/>
    <w:rsid w:val="00641513"/>
    <w:rsid w:val="00646AD4"/>
    <w:rsid w:val="00652B47"/>
    <w:rsid w:val="00661E1F"/>
    <w:rsid w:val="00671E2F"/>
    <w:rsid w:val="0067535B"/>
    <w:rsid w:val="00682F6B"/>
    <w:rsid w:val="00684F67"/>
    <w:rsid w:val="006865CE"/>
    <w:rsid w:val="006A7E5A"/>
    <w:rsid w:val="006B4394"/>
    <w:rsid w:val="006C4464"/>
    <w:rsid w:val="006C5FCB"/>
    <w:rsid w:val="006C75D9"/>
    <w:rsid w:val="006D0479"/>
    <w:rsid w:val="006D2715"/>
    <w:rsid w:val="006D37A0"/>
    <w:rsid w:val="006D5E23"/>
    <w:rsid w:val="006E06BD"/>
    <w:rsid w:val="006E071B"/>
    <w:rsid w:val="006E6036"/>
    <w:rsid w:val="006F4599"/>
    <w:rsid w:val="00700EA0"/>
    <w:rsid w:val="00701BFE"/>
    <w:rsid w:val="00702314"/>
    <w:rsid w:val="00705529"/>
    <w:rsid w:val="007068E7"/>
    <w:rsid w:val="00706E58"/>
    <w:rsid w:val="00707433"/>
    <w:rsid w:val="00707B14"/>
    <w:rsid w:val="007108C5"/>
    <w:rsid w:val="00714743"/>
    <w:rsid w:val="00723CC6"/>
    <w:rsid w:val="00725132"/>
    <w:rsid w:val="0072579A"/>
    <w:rsid w:val="00732A0F"/>
    <w:rsid w:val="00751437"/>
    <w:rsid w:val="00752F82"/>
    <w:rsid w:val="00754C48"/>
    <w:rsid w:val="00763031"/>
    <w:rsid w:val="00767B20"/>
    <w:rsid w:val="00772E9A"/>
    <w:rsid w:val="00776F79"/>
    <w:rsid w:val="007846E0"/>
    <w:rsid w:val="00794E8F"/>
    <w:rsid w:val="00796442"/>
    <w:rsid w:val="00796CAC"/>
    <w:rsid w:val="00797548"/>
    <w:rsid w:val="007A0916"/>
    <w:rsid w:val="007B419B"/>
    <w:rsid w:val="007B5147"/>
    <w:rsid w:val="007B6058"/>
    <w:rsid w:val="007B6F78"/>
    <w:rsid w:val="007C1356"/>
    <w:rsid w:val="007C2AF3"/>
    <w:rsid w:val="007C3930"/>
    <w:rsid w:val="007C61E6"/>
    <w:rsid w:val="007C6505"/>
    <w:rsid w:val="007C705E"/>
    <w:rsid w:val="007D1C93"/>
    <w:rsid w:val="007D50B3"/>
    <w:rsid w:val="007D7958"/>
    <w:rsid w:val="007D7D08"/>
    <w:rsid w:val="007E557D"/>
    <w:rsid w:val="007E6EBA"/>
    <w:rsid w:val="007E7378"/>
    <w:rsid w:val="007E7458"/>
    <w:rsid w:val="007F10A0"/>
    <w:rsid w:val="007F28F4"/>
    <w:rsid w:val="007F728F"/>
    <w:rsid w:val="007F7365"/>
    <w:rsid w:val="00802C47"/>
    <w:rsid w:val="00824124"/>
    <w:rsid w:val="008243AA"/>
    <w:rsid w:val="00825179"/>
    <w:rsid w:val="008316A1"/>
    <w:rsid w:val="00833220"/>
    <w:rsid w:val="00836345"/>
    <w:rsid w:val="00840D3E"/>
    <w:rsid w:val="0084249A"/>
    <w:rsid w:val="00842A57"/>
    <w:rsid w:val="008444B0"/>
    <w:rsid w:val="0084645B"/>
    <w:rsid w:val="00847EED"/>
    <w:rsid w:val="00847F9F"/>
    <w:rsid w:val="00872101"/>
    <w:rsid w:val="00880E2C"/>
    <w:rsid w:val="00881D77"/>
    <w:rsid w:val="00883CA7"/>
    <w:rsid w:val="00887B36"/>
    <w:rsid w:val="00887FAD"/>
    <w:rsid w:val="008904B8"/>
    <w:rsid w:val="0089074C"/>
    <w:rsid w:val="0089286F"/>
    <w:rsid w:val="00896571"/>
    <w:rsid w:val="00896D79"/>
    <w:rsid w:val="008A2ECD"/>
    <w:rsid w:val="008A3619"/>
    <w:rsid w:val="008B4BEC"/>
    <w:rsid w:val="008C3707"/>
    <w:rsid w:val="008C53FD"/>
    <w:rsid w:val="008D3B78"/>
    <w:rsid w:val="008D6B64"/>
    <w:rsid w:val="008E0977"/>
    <w:rsid w:val="008E2B39"/>
    <w:rsid w:val="008E6E2B"/>
    <w:rsid w:val="008F4D14"/>
    <w:rsid w:val="008F65C2"/>
    <w:rsid w:val="009023F5"/>
    <w:rsid w:val="00906CD3"/>
    <w:rsid w:val="009103C5"/>
    <w:rsid w:val="00933523"/>
    <w:rsid w:val="009411AE"/>
    <w:rsid w:val="009414F0"/>
    <w:rsid w:val="00946665"/>
    <w:rsid w:val="00947798"/>
    <w:rsid w:val="00947DE9"/>
    <w:rsid w:val="0095084C"/>
    <w:rsid w:val="00951B5D"/>
    <w:rsid w:val="00951BEB"/>
    <w:rsid w:val="00960A6A"/>
    <w:rsid w:val="009620F2"/>
    <w:rsid w:val="00966045"/>
    <w:rsid w:val="00970AE5"/>
    <w:rsid w:val="009712CF"/>
    <w:rsid w:val="009717F2"/>
    <w:rsid w:val="00971D65"/>
    <w:rsid w:val="00974334"/>
    <w:rsid w:val="00976006"/>
    <w:rsid w:val="00984F94"/>
    <w:rsid w:val="009859ED"/>
    <w:rsid w:val="009901C1"/>
    <w:rsid w:val="009943D0"/>
    <w:rsid w:val="00996298"/>
    <w:rsid w:val="00996FCF"/>
    <w:rsid w:val="0099749A"/>
    <w:rsid w:val="009A04CE"/>
    <w:rsid w:val="009A11B0"/>
    <w:rsid w:val="009A3E0C"/>
    <w:rsid w:val="009A454D"/>
    <w:rsid w:val="009A799C"/>
    <w:rsid w:val="009B1D7A"/>
    <w:rsid w:val="009B2932"/>
    <w:rsid w:val="009B5E99"/>
    <w:rsid w:val="009C0DD1"/>
    <w:rsid w:val="009C6FA8"/>
    <w:rsid w:val="009C737D"/>
    <w:rsid w:val="009E2EC4"/>
    <w:rsid w:val="009F29F2"/>
    <w:rsid w:val="009F4882"/>
    <w:rsid w:val="00A017B2"/>
    <w:rsid w:val="00A023A9"/>
    <w:rsid w:val="00A03C20"/>
    <w:rsid w:val="00A04AB8"/>
    <w:rsid w:val="00A07CC3"/>
    <w:rsid w:val="00A100B3"/>
    <w:rsid w:val="00A1738F"/>
    <w:rsid w:val="00A30FC1"/>
    <w:rsid w:val="00A35F93"/>
    <w:rsid w:val="00A40D84"/>
    <w:rsid w:val="00A44CDE"/>
    <w:rsid w:val="00A510B7"/>
    <w:rsid w:val="00A53164"/>
    <w:rsid w:val="00A554F8"/>
    <w:rsid w:val="00A63F0E"/>
    <w:rsid w:val="00A64A50"/>
    <w:rsid w:val="00A67CD6"/>
    <w:rsid w:val="00A67D53"/>
    <w:rsid w:val="00A70306"/>
    <w:rsid w:val="00A70BBE"/>
    <w:rsid w:val="00A70CFC"/>
    <w:rsid w:val="00A73172"/>
    <w:rsid w:val="00A76AC1"/>
    <w:rsid w:val="00A8141E"/>
    <w:rsid w:val="00A83626"/>
    <w:rsid w:val="00A85C0D"/>
    <w:rsid w:val="00A912C4"/>
    <w:rsid w:val="00A93F59"/>
    <w:rsid w:val="00A945E7"/>
    <w:rsid w:val="00A95386"/>
    <w:rsid w:val="00A95571"/>
    <w:rsid w:val="00AA3B7C"/>
    <w:rsid w:val="00AA4F00"/>
    <w:rsid w:val="00AB0EFA"/>
    <w:rsid w:val="00AB2062"/>
    <w:rsid w:val="00AB7563"/>
    <w:rsid w:val="00AC2B93"/>
    <w:rsid w:val="00AC70F5"/>
    <w:rsid w:val="00AD0CCE"/>
    <w:rsid w:val="00AD468C"/>
    <w:rsid w:val="00AE5E66"/>
    <w:rsid w:val="00AE5F48"/>
    <w:rsid w:val="00AE7043"/>
    <w:rsid w:val="00AE78F2"/>
    <w:rsid w:val="00AF0234"/>
    <w:rsid w:val="00B00F5D"/>
    <w:rsid w:val="00B06891"/>
    <w:rsid w:val="00B1096A"/>
    <w:rsid w:val="00B10BE5"/>
    <w:rsid w:val="00B131E6"/>
    <w:rsid w:val="00B154A1"/>
    <w:rsid w:val="00B304C0"/>
    <w:rsid w:val="00B3183C"/>
    <w:rsid w:val="00B411B4"/>
    <w:rsid w:val="00B469B8"/>
    <w:rsid w:val="00B47567"/>
    <w:rsid w:val="00B5514A"/>
    <w:rsid w:val="00B60E28"/>
    <w:rsid w:val="00B657CA"/>
    <w:rsid w:val="00B66DAC"/>
    <w:rsid w:val="00B67314"/>
    <w:rsid w:val="00B74182"/>
    <w:rsid w:val="00B74C5D"/>
    <w:rsid w:val="00B74D5B"/>
    <w:rsid w:val="00B76485"/>
    <w:rsid w:val="00B81334"/>
    <w:rsid w:val="00B8574E"/>
    <w:rsid w:val="00B94D82"/>
    <w:rsid w:val="00BA08BB"/>
    <w:rsid w:val="00BB1763"/>
    <w:rsid w:val="00BC0A94"/>
    <w:rsid w:val="00BC1C58"/>
    <w:rsid w:val="00BC5B4C"/>
    <w:rsid w:val="00BD0D31"/>
    <w:rsid w:val="00BE16AE"/>
    <w:rsid w:val="00BE4122"/>
    <w:rsid w:val="00BE4EE1"/>
    <w:rsid w:val="00BE6EE7"/>
    <w:rsid w:val="00BF06F9"/>
    <w:rsid w:val="00BF302A"/>
    <w:rsid w:val="00BF4C8A"/>
    <w:rsid w:val="00C02F04"/>
    <w:rsid w:val="00C04168"/>
    <w:rsid w:val="00C05860"/>
    <w:rsid w:val="00C10E79"/>
    <w:rsid w:val="00C11750"/>
    <w:rsid w:val="00C127ED"/>
    <w:rsid w:val="00C16C97"/>
    <w:rsid w:val="00C23B2A"/>
    <w:rsid w:val="00C25242"/>
    <w:rsid w:val="00C252F3"/>
    <w:rsid w:val="00C300C6"/>
    <w:rsid w:val="00C31142"/>
    <w:rsid w:val="00C332A1"/>
    <w:rsid w:val="00C33E51"/>
    <w:rsid w:val="00C33EB2"/>
    <w:rsid w:val="00C46608"/>
    <w:rsid w:val="00C55CFE"/>
    <w:rsid w:val="00C60758"/>
    <w:rsid w:val="00C61F88"/>
    <w:rsid w:val="00C634BC"/>
    <w:rsid w:val="00C66AC2"/>
    <w:rsid w:val="00C73EAB"/>
    <w:rsid w:val="00C769BB"/>
    <w:rsid w:val="00C80BEA"/>
    <w:rsid w:val="00C82D8A"/>
    <w:rsid w:val="00C95947"/>
    <w:rsid w:val="00C962FC"/>
    <w:rsid w:val="00CB619C"/>
    <w:rsid w:val="00CB699B"/>
    <w:rsid w:val="00CC0ABF"/>
    <w:rsid w:val="00CC2841"/>
    <w:rsid w:val="00CD023E"/>
    <w:rsid w:val="00CD3B7D"/>
    <w:rsid w:val="00CD6EC2"/>
    <w:rsid w:val="00CD7619"/>
    <w:rsid w:val="00CF41FC"/>
    <w:rsid w:val="00D13CE2"/>
    <w:rsid w:val="00D13CFC"/>
    <w:rsid w:val="00D26D98"/>
    <w:rsid w:val="00D3630A"/>
    <w:rsid w:val="00D40F88"/>
    <w:rsid w:val="00D42A73"/>
    <w:rsid w:val="00D43718"/>
    <w:rsid w:val="00D5018D"/>
    <w:rsid w:val="00D54929"/>
    <w:rsid w:val="00D56650"/>
    <w:rsid w:val="00D602CF"/>
    <w:rsid w:val="00D60C58"/>
    <w:rsid w:val="00D630FA"/>
    <w:rsid w:val="00D70407"/>
    <w:rsid w:val="00D750DF"/>
    <w:rsid w:val="00D7546A"/>
    <w:rsid w:val="00D84FDF"/>
    <w:rsid w:val="00D850FF"/>
    <w:rsid w:val="00D86637"/>
    <w:rsid w:val="00D901DF"/>
    <w:rsid w:val="00D94FFF"/>
    <w:rsid w:val="00DA15C9"/>
    <w:rsid w:val="00DA2CF8"/>
    <w:rsid w:val="00DA5911"/>
    <w:rsid w:val="00DA7471"/>
    <w:rsid w:val="00DB0442"/>
    <w:rsid w:val="00DB13A5"/>
    <w:rsid w:val="00DB1EBF"/>
    <w:rsid w:val="00DB3857"/>
    <w:rsid w:val="00DB72E2"/>
    <w:rsid w:val="00DC23D9"/>
    <w:rsid w:val="00DC3D40"/>
    <w:rsid w:val="00DC4381"/>
    <w:rsid w:val="00DC7BE0"/>
    <w:rsid w:val="00DD0C2F"/>
    <w:rsid w:val="00DD13AD"/>
    <w:rsid w:val="00DD1745"/>
    <w:rsid w:val="00DD5A19"/>
    <w:rsid w:val="00DD5A7D"/>
    <w:rsid w:val="00DE0AB2"/>
    <w:rsid w:val="00DE644B"/>
    <w:rsid w:val="00DF35C2"/>
    <w:rsid w:val="00DF7E64"/>
    <w:rsid w:val="00E0166C"/>
    <w:rsid w:val="00E034F4"/>
    <w:rsid w:val="00E14685"/>
    <w:rsid w:val="00E1511D"/>
    <w:rsid w:val="00E15ACE"/>
    <w:rsid w:val="00E169D1"/>
    <w:rsid w:val="00E2471C"/>
    <w:rsid w:val="00E25CB8"/>
    <w:rsid w:val="00E331FD"/>
    <w:rsid w:val="00E36752"/>
    <w:rsid w:val="00E43605"/>
    <w:rsid w:val="00E45AFC"/>
    <w:rsid w:val="00E45B10"/>
    <w:rsid w:val="00E47CB1"/>
    <w:rsid w:val="00E52021"/>
    <w:rsid w:val="00E57461"/>
    <w:rsid w:val="00E640E0"/>
    <w:rsid w:val="00E71911"/>
    <w:rsid w:val="00E719AC"/>
    <w:rsid w:val="00E71AA1"/>
    <w:rsid w:val="00E757F9"/>
    <w:rsid w:val="00E80A2B"/>
    <w:rsid w:val="00E91A43"/>
    <w:rsid w:val="00E93927"/>
    <w:rsid w:val="00E952EC"/>
    <w:rsid w:val="00E96BD0"/>
    <w:rsid w:val="00EA46A5"/>
    <w:rsid w:val="00EB1659"/>
    <w:rsid w:val="00EC32F7"/>
    <w:rsid w:val="00EC554F"/>
    <w:rsid w:val="00EC60BE"/>
    <w:rsid w:val="00EC7161"/>
    <w:rsid w:val="00ED5886"/>
    <w:rsid w:val="00ED7A46"/>
    <w:rsid w:val="00ED7CB9"/>
    <w:rsid w:val="00EE5EED"/>
    <w:rsid w:val="00EE744D"/>
    <w:rsid w:val="00F01611"/>
    <w:rsid w:val="00F11D14"/>
    <w:rsid w:val="00F12901"/>
    <w:rsid w:val="00F15463"/>
    <w:rsid w:val="00F24AF5"/>
    <w:rsid w:val="00F25A87"/>
    <w:rsid w:val="00F25CE9"/>
    <w:rsid w:val="00F26C98"/>
    <w:rsid w:val="00F3103E"/>
    <w:rsid w:val="00F42445"/>
    <w:rsid w:val="00F4399F"/>
    <w:rsid w:val="00F45E2A"/>
    <w:rsid w:val="00F5122D"/>
    <w:rsid w:val="00F53A17"/>
    <w:rsid w:val="00F65759"/>
    <w:rsid w:val="00F730E7"/>
    <w:rsid w:val="00F750D4"/>
    <w:rsid w:val="00F75B2A"/>
    <w:rsid w:val="00F80886"/>
    <w:rsid w:val="00F86F52"/>
    <w:rsid w:val="00F93535"/>
    <w:rsid w:val="00F95D55"/>
    <w:rsid w:val="00F96F8B"/>
    <w:rsid w:val="00F97AFF"/>
    <w:rsid w:val="00FA1021"/>
    <w:rsid w:val="00FA2E6B"/>
    <w:rsid w:val="00FA66E5"/>
    <w:rsid w:val="00FA70E5"/>
    <w:rsid w:val="00FC19AA"/>
    <w:rsid w:val="00FC35D8"/>
    <w:rsid w:val="00FC36B7"/>
    <w:rsid w:val="00FD26F9"/>
    <w:rsid w:val="00FD2BA2"/>
    <w:rsid w:val="00FD3093"/>
    <w:rsid w:val="00FD7238"/>
    <w:rsid w:val="00FD7F8B"/>
    <w:rsid w:val="00FE1B23"/>
    <w:rsid w:val="00FF59C1"/>
    <w:rsid w:val="00FF64D8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56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043"/>
    <w:pPr>
      <w:keepNext/>
      <w:keepLines/>
      <w:numPr>
        <w:numId w:val="1"/>
      </w:numPr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link w:val="ListParagraphChar"/>
    <w:uiPriority w:val="99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16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AE7043"/>
    <w:rPr>
      <w:sz w:val="24"/>
      <w:szCs w:val="24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97600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6F9"/>
    <w:rPr>
      <w:color w:val="605E5C"/>
      <w:shd w:val="clear" w:color="auto" w:fill="E1DFDD"/>
    </w:rPr>
  </w:style>
  <w:style w:type="character" w:styleId="CommentReference">
    <w:name w:val="annotation reference"/>
    <w:rsid w:val="005452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207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54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006"/>
    <w:pPr>
      <w:spacing w:before="120" w:after="120" w:line="276" w:lineRule="auto"/>
      <w:jc w:val="both"/>
    </w:pPr>
    <w:rPr>
      <w:rFonts w:ascii="Trebuchet MS" w:hAnsi="Trebuchet MS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043"/>
    <w:pPr>
      <w:keepNext/>
      <w:keepLines/>
      <w:outlineLvl w:val="0"/>
    </w:pPr>
    <w:rPr>
      <w:b/>
      <w:smallCaps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043"/>
    <w:pPr>
      <w:keepNext/>
      <w:keepLines/>
      <w:outlineLvl w:val="1"/>
    </w:pPr>
    <w:rPr>
      <w:b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7043"/>
    <w:pPr>
      <w:keepNext/>
      <w:keepLines/>
      <w:numPr>
        <w:numId w:val="1"/>
      </w:numPr>
      <w:outlineLvl w:val="2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5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E5F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7EE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C962FC"/>
    <w:rPr>
      <w:rFonts w:ascii="Courier New" w:hAnsi="Courier New" w:cs="Courier New"/>
      <w:color w:val="000000"/>
    </w:rPr>
  </w:style>
  <w:style w:type="character" w:customStyle="1" w:styleId="shorttext1">
    <w:name w:val="short_text1"/>
    <w:rsid w:val="00E757F9"/>
    <w:rPr>
      <w:sz w:val="29"/>
      <w:szCs w:val="29"/>
    </w:rPr>
  </w:style>
  <w:style w:type="paragraph" w:styleId="ListParagraph">
    <w:name w:val="List Paragraph"/>
    <w:basedOn w:val="Normal"/>
    <w:link w:val="ListParagraphChar"/>
    <w:uiPriority w:val="99"/>
    <w:qFormat/>
    <w:rsid w:val="00206B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C04168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0416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C04168"/>
    <w:rPr>
      <w:sz w:val="24"/>
      <w:szCs w:val="24"/>
      <w:lang w:val="ro-RO" w:eastAsia="ro-RO"/>
    </w:rPr>
  </w:style>
  <w:style w:type="paragraph" w:customStyle="1" w:styleId="Default">
    <w:name w:val="Default"/>
    <w:rsid w:val="00ED5886"/>
    <w:pPr>
      <w:widowControl w:val="0"/>
      <w:autoSpaceDE w:val="0"/>
      <w:autoSpaceDN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AE7043"/>
    <w:rPr>
      <w:rFonts w:ascii="Trebuchet MS" w:hAnsi="Trebuchet MS"/>
      <w:b/>
      <w:smallCaps/>
      <w:sz w:val="2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AE7043"/>
    <w:rPr>
      <w:rFonts w:ascii="Trebuchet MS" w:hAnsi="Trebuchet MS"/>
      <w:b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AE7043"/>
    <w:rPr>
      <w:sz w:val="24"/>
      <w:szCs w:val="24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AE7043"/>
    <w:pPr>
      <w:spacing w:after="0" w:line="259" w:lineRule="auto"/>
      <w:outlineLvl w:val="9"/>
    </w:pPr>
    <w:rPr>
      <w:rFonts w:ascii="Calibri Light" w:hAnsi="Calibri Light"/>
      <w:b w:val="0"/>
      <w:smallCaps w:val="0"/>
      <w:color w:val="2F5496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E7043"/>
    <w:pPr>
      <w:tabs>
        <w:tab w:val="right" w:leader="dot" w:pos="9062"/>
      </w:tabs>
    </w:pPr>
    <w:rPr>
      <w:rFonts w:eastAsia="Calibri"/>
      <w:b/>
      <w:smallCaps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AE7043"/>
    <w:pPr>
      <w:spacing w:after="100"/>
      <w:ind w:left="220"/>
    </w:pPr>
    <w:rPr>
      <w:rFonts w:eastAsia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AE7043"/>
    <w:pPr>
      <w:spacing w:after="100"/>
      <w:ind w:left="440"/>
    </w:pPr>
    <w:rPr>
      <w:rFonts w:eastAsia="Calibri"/>
      <w:sz w:val="22"/>
      <w:szCs w:val="22"/>
      <w:lang w:eastAsia="en-US"/>
    </w:r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97600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6F9"/>
    <w:rPr>
      <w:color w:val="605E5C"/>
      <w:shd w:val="clear" w:color="auto" w:fill="E1DFDD"/>
    </w:rPr>
  </w:style>
  <w:style w:type="character" w:styleId="CommentReference">
    <w:name w:val="annotation reference"/>
    <w:rsid w:val="005452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5207"/>
    <w:pPr>
      <w:spacing w:before="0" w:after="0" w:line="240" w:lineRule="auto"/>
      <w:jc w:val="left"/>
    </w:pPr>
    <w:rPr>
      <w:rFonts w:ascii="Times New Roman" w:hAnsi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rsid w:val="0054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67CE-161E-4CAC-88E9-A1219FB16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 Shabla</vt:lpstr>
      <vt:lpstr>Blank Shabla</vt:lpstr>
    </vt:vector>
  </TitlesOfParts>
  <Company>FORDOC</Company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Shabla</dc:title>
  <dc:creator>Georgi Ivanov</dc:creator>
  <cp:lastModifiedBy>SSC</cp:lastModifiedBy>
  <cp:revision>2</cp:revision>
  <cp:lastPrinted>2017-07-13T10:40:00Z</cp:lastPrinted>
  <dcterms:created xsi:type="dcterms:W3CDTF">2020-05-19T08:35:00Z</dcterms:created>
  <dcterms:modified xsi:type="dcterms:W3CDTF">2020-05-19T08:35:00Z</dcterms:modified>
</cp:coreProperties>
</file>